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F81AA2" w:rsidTr="006A61DF">
        <w:trPr>
          <w:trHeight w:val="1049"/>
        </w:trPr>
        <w:tc>
          <w:tcPr>
            <w:tcW w:w="8099" w:type="dxa"/>
            <w:tcMar>
              <w:top w:w="0" w:type="dxa"/>
              <w:left w:w="0" w:type="dxa"/>
              <w:bottom w:w="0" w:type="dxa"/>
              <w:right w:w="0" w:type="dxa"/>
            </w:tcMar>
          </w:tcPr>
          <w:p w:rsidR="00E950B0" w:rsidRPr="00F81AA2"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lang w:val="en-US" w:bidi="de-DE"/>
              </w:rPr>
            </w:pPr>
          </w:p>
        </w:tc>
        <w:tc>
          <w:tcPr>
            <w:tcW w:w="2126" w:type="dxa"/>
            <w:tcMar>
              <w:top w:w="0" w:type="dxa"/>
              <w:left w:w="0" w:type="dxa"/>
              <w:bottom w:w="0" w:type="dxa"/>
              <w:right w:w="0" w:type="dxa"/>
            </w:tcMar>
          </w:tcPr>
          <w:p w:rsidR="00E950B0" w:rsidRPr="00F81AA2" w:rsidRDefault="00E950B0" w:rsidP="004B239B">
            <w:pPr>
              <w:tabs>
                <w:tab w:val="center" w:pos="4513"/>
                <w:tab w:val="right" w:pos="9026"/>
              </w:tabs>
              <w:jc w:val="left"/>
              <w:rPr>
                <w:lang w:val="en-US"/>
              </w:rPr>
            </w:pPr>
          </w:p>
        </w:tc>
      </w:tr>
      <w:tr w:rsidR="004B239B" w:rsidRPr="00F81AA2" w:rsidTr="001E2E86">
        <w:trPr>
          <w:trHeight w:val="2075"/>
        </w:trPr>
        <w:tc>
          <w:tcPr>
            <w:tcW w:w="8099" w:type="dxa"/>
            <w:tcMar>
              <w:top w:w="0" w:type="dxa"/>
              <w:left w:w="0" w:type="dxa"/>
              <w:bottom w:w="0" w:type="dxa"/>
              <w:right w:w="0" w:type="dxa"/>
            </w:tcMar>
          </w:tcPr>
          <w:p w:rsidR="004B239B" w:rsidRPr="00F81AA2" w:rsidRDefault="00071754" w:rsidP="0022572B">
            <w:pPr>
              <w:tabs>
                <w:tab w:val="left" w:pos="3270"/>
              </w:tabs>
              <w:jc w:val="left"/>
              <w:rPr>
                <w:lang w:val="en-US"/>
              </w:rPr>
            </w:pPr>
            <w:r w:rsidRPr="00F81AA2">
              <w:rPr>
                <w:rFonts w:eastAsia="Calibri" w:cs="Arial"/>
                <w:b/>
                <w:color w:val="auto"/>
                <w:sz w:val="40"/>
                <w:lang w:val="en-US"/>
              </w:rPr>
              <w:t>Buoyant growth for CHG-MERIDIAN in the first half of 2016</w:t>
            </w:r>
          </w:p>
        </w:tc>
        <w:tc>
          <w:tcPr>
            <w:tcW w:w="2126" w:type="dxa"/>
            <w:tcMar>
              <w:top w:w="0" w:type="dxa"/>
              <w:left w:w="0" w:type="dxa"/>
              <w:bottom w:w="0" w:type="dxa"/>
              <w:right w:w="0" w:type="dxa"/>
            </w:tcMar>
          </w:tcPr>
          <w:p w:rsidR="004B239B" w:rsidRPr="00F81AA2" w:rsidRDefault="004B239B" w:rsidP="004B239B">
            <w:pPr>
              <w:tabs>
                <w:tab w:val="center" w:pos="4513"/>
                <w:tab w:val="right" w:pos="9026"/>
              </w:tabs>
              <w:jc w:val="left"/>
              <w:rPr>
                <w:lang w:val="en-US"/>
              </w:rPr>
            </w:pPr>
          </w:p>
        </w:tc>
      </w:tr>
      <w:tr w:rsidR="004B239B" w:rsidRPr="00F81AA2" w:rsidTr="00E950B0">
        <w:trPr>
          <w:trHeight w:val="2398"/>
        </w:trPr>
        <w:tc>
          <w:tcPr>
            <w:tcW w:w="8099" w:type="dxa"/>
            <w:tcMar>
              <w:top w:w="0" w:type="dxa"/>
              <w:left w:w="0" w:type="dxa"/>
              <w:bottom w:w="0" w:type="dxa"/>
              <w:right w:w="0" w:type="dxa"/>
            </w:tcMar>
          </w:tcPr>
          <w:p w:rsidR="00305F30" w:rsidRPr="00F81AA2" w:rsidRDefault="00305F30" w:rsidP="00305F30">
            <w:pPr>
              <w:pStyle w:val="AufzhlungspunkteCHG-MERIDIAN"/>
              <w:rPr>
                <w:sz w:val="24"/>
                <w:lang w:val="en-US" w:bidi="de-DE"/>
              </w:rPr>
            </w:pPr>
            <w:r w:rsidRPr="00F81AA2">
              <w:rPr>
                <w:color w:val="000000"/>
                <w:sz w:val="24"/>
                <w:lang w:val="en-US"/>
              </w:rPr>
              <w:t>Momentum: Strong growth impetus in western and southern Europe</w:t>
            </w:r>
          </w:p>
          <w:p w:rsidR="00305F30" w:rsidRPr="00F81AA2" w:rsidRDefault="00305F30" w:rsidP="00305F30">
            <w:pPr>
              <w:pStyle w:val="AufzhlungspunkteCHG-MERIDIAN"/>
              <w:rPr>
                <w:sz w:val="24"/>
                <w:lang w:val="en-US" w:bidi="de-DE"/>
              </w:rPr>
            </w:pPr>
            <w:r w:rsidRPr="00F81AA2">
              <w:rPr>
                <w:color w:val="000000"/>
                <w:sz w:val="24"/>
                <w:lang w:val="en-US"/>
              </w:rPr>
              <w:t>Solidity: Gross profit stabilizes at a high level</w:t>
            </w:r>
          </w:p>
          <w:p w:rsidR="00305F30" w:rsidRPr="00F81AA2" w:rsidRDefault="00554238" w:rsidP="00305F30">
            <w:pPr>
              <w:pStyle w:val="AufzhlungspunkteCHG-MERIDIAN"/>
              <w:rPr>
                <w:sz w:val="24"/>
                <w:lang w:val="en-US" w:bidi="de-DE"/>
              </w:rPr>
            </w:pPr>
            <w:r w:rsidRPr="00F81AA2">
              <w:rPr>
                <w:color w:val="000000"/>
                <w:sz w:val="24"/>
                <w:lang w:val="en-US"/>
              </w:rPr>
              <w:t>Innovation: New enterprise mobility solution opens up potential</w:t>
            </w:r>
          </w:p>
          <w:p w:rsidR="004B239B" w:rsidRPr="00F81AA2" w:rsidRDefault="004B239B" w:rsidP="006A61DF">
            <w:pPr>
              <w:spacing w:line="200" w:lineRule="exact"/>
              <w:rPr>
                <w:lang w:val="en-US"/>
              </w:rPr>
            </w:pPr>
          </w:p>
        </w:tc>
        <w:tc>
          <w:tcPr>
            <w:tcW w:w="2126" w:type="dxa"/>
            <w:tcMar>
              <w:top w:w="0" w:type="dxa"/>
              <w:left w:w="0" w:type="dxa"/>
              <w:bottom w:w="0" w:type="dxa"/>
              <w:right w:w="0" w:type="dxa"/>
            </w:tcMar>
          </w:tcPr>
          <w:p w:rsidR="00AA3DD5" w:rsidRPr="00F81AA2" w:rsidRDefault="00C34BA7" w:rsidP="00AA3DD5">
            <w:pPr>
              <w:tabs>
                <w:tab w:val="left" w:pos="709"/>
                <w:tab w:val="right" w:pos="2835"/>
              </w:tabs>
              <w:spacing w:line="200" w:lineRule="atLeast"/>
              <w:jc w:val="left"/>
              <w:rPr>
                <w:color w:val="auto"/>
                <w:sz w:val="14"/>
                <w:szCs w:val="14"/>
                <w:lang w:val="en-US"/>
              </w:rPr>
            </w:pPr>
            <w:r w:rsidRPr="00F81AA2">
              <w:rPr>
                <w:rFonts w:cs="Arial"/>
                <w:color w:val="auto"/>
                <w:sz w:val="14"/>
                <w:lang w:val="en-US"/>
              </w:rPr>
              <w:t>Your contact:</w:t>
            </w:r>
          </w:p>
          <w:p w:rsidR="004C79EB" w:rsidRPr="00F81AA2" w:rsidRDefault="004C79EB" w:rsidP="00AA3DD5">
            <w:pPr>
              <w:tabs>
                <w:tab w:val="left" w:pos="709"/>
                <w:tab w:val="right" w:pos="2835"/>
              </w:tabs>
              <w:spacing w:line="200" w:lineRule="atLeast"/>
              <w:jc w:val="left"/>
              <w:rPr>
                <w:color w:val="auto"/>
                <w:sz w:val="14"/>
                <w:szCs w:val="14"/>
                <w:lang w:val="en-US"/>
              </w:rPr>
            </w:pPr>
          </w:p>
          <w:p w:rsidR="00AA3DD5" w:rsidRPr="00F81AA2" w:rsidRDefault="00AA3DD5" w:rsidP="00AA3DD5">
            <w:pPr>
              <w:tabs>
                <w:tab w:val="left" w:pos="709"/>
                <w:tab w:val="right" w:pos="2835"/>
              </w:tabs>
              <w:spacing w:line="200" w:lineRule="atLeast"/>
              <w:jc w:val="left"/>
              <w:rPr>
                <w:color w:val="auto"/>
                <w:sz w:val="14"/>
                <w:szCs w:val="14"/>
                <w:lang w:val="en-US"/>
              </w:rPr>
            </w:pPr>
            <w:r w:rsidRPr="00F81AA2">
              <w:rPr>
                <w:rFonts w:cs="Arial"/>
                <w:color w:val="auto"/>
                <w:sz w:val="14"/>
                <w:lang w:val="en-US"/>
              </w:rPr>
              <w:t xml:space="preserve">Matthias Steybe </w:t>
            </w:r>
          </w:p>
          <w:p w:rsidR="00AA3DD5" w:rsidRPr="00F81AA2" w:rsidRDefault="00AA3DD5" w:rsidP="00AA3DD5">
            <w:pPr>
              <w:tabs>
                <w:tab w:val="left" w:pos="709"/>
                <w:tab w:val="right" w:pos="2835"/>
              </w:tabs>
              <w:spacing w:line="200" w:lineRule="atLeast"/>
              <w:jc w:val="left"/>
              <w:rPr>
                <w:color w:val="auto"/>
                <w:sz w:val="14"/>
                <w:szCs w:val="14"/>
                <w:lang w:val="en-US"/>
              </w:rPr>
            </w:pPr>
            <w:r w:rsidRPr="00F81AA2">
              <w:rPr>
                <w:rFonts w:cs="Arial"/>
                <w:color w:val="auto"/>
                <w:sz w:val="14"/>
                <w:lang w:val="en-US"/>
              </w:rPr>
              <w:t xml:space="preserve">Head of Communications </w:t>
            </w:r>
          </w:p>
          <w:p w:rsidR="00AA3DD5" w:rsidRPr="00F81AA2" w:rsidRDefault="00AA3DD5" w:rsidP="00AA3DD5">
            <w:pPr>
              <w:tabs>
                <w:tab w:val="left" w:pos="709"/>
                <w:tab w:val="right" w:pos="2835"/>
              </w:tabs>
              <w:spacing w:line="200" w:lineRule="atLeast"/>
              <w:jc w:val="left"/>
              <w:rPr>
                <w:color w:val="auto"/>
                <w:sz w:val="14"/>
                <w:szCs w:val="14"/>
                <w:lang w:val="en-US"/>
              </w:rPr>
            </w:pPr>
            <w:r w:rsidRPr="00F81AA2">
              <w:rPr>
                <w:rFonts w:cs="Arial"/>
                <w:color w:val="auto"/>
                <w:sz w:val="14"/>
                <w:lang w:val="en-US"/>
              </w:rPr>
              <w:t>and Marketing</w:t>
            </w:r>
          </w:p>
          <w:p w:rsidR="004B239B" w:rsidRPr="00F81AA2" w:rsidRDefault="004B239B" w:rsidP="004B239B">
            <w:pPr>
              <w:tabs>
                <w:tab w:val="center" w:pos="4513"/>
                <w:tab w:val="right" w:pos="9026"/>
              </w:tabs>
              <w:jc w:val="left"/>
              <w:rPr>
                <w:b/>
                <w:sz w:val="14"/>
                <w:szCs w:val="14"/>
                <w:lang w:val="en-US"/>
              </w:rPr>
            </w:pPr>
          </w:p>
          <w:p w:rsidR="004B239B" w:rsidRPr="00F81AA2" w:rsidRDefault="004B239B" w:rsidP="004B239B">
            <w:pPr>
              <w:tabs>
                <w:tab w:val="center" w:pos="4513"/>
                <w:tab w:val="right" w:pos="9026"/>
              </w:tabs>
              <w:jc w:val="left"/>
              <w:rPr>
                <w:sz w:val="14"/>
                <w:szCs w:val="14"/>
                <w:lang w:val="en-US"/>
              </w:rPr>
            </w:pPr>
          </w:p>
          <w:p w:rsidR="006A61DF" w:rsidRPr="00F81AA2" w:rsidRDefault="006A61DF" w:rsidP="006A61DF">
            <w:pPr>
              <w:tabs>
                <w:tab w:val="center" w:pos="4513"/>
                <w:tab w:val="right" w:pos="9026"/>
              </w:tabs>
              <w:jc w:val="left"/>
              <w:rPr>
                <w:sz w:val="14"/>
                <w:szCs w:val="14"/>
                <w:lang w:val="en-US"/>
              </w:rPr>
            </w:pPr>
          </w:p>
          <w:p w:rsidR="004B239B" w:rsidRPr="00F81AA2" w:rsidRDefault="004B239B" w:rsidP="004B239B">
            <w:pPr>
              <w:tabs>
                <w:tab w:val="center" w:pos="4513"/>
                <w:tab w:val="right" w:pos="9026"/>
              </w:tabs>
              <w:jc w:val="left"/>
              <w:rPr>
                <w:sz w:val="14"/>
                <w:szCs w:val="14"/>
                <w:lang w:val="en-US"/>
              </w:rPr>
            </w:pPr>
          </w:p>
        </w:tc>
      </w:tr>
      <w:tr w:rsidR="00547CF9" w:rsidRPr="00F81AA2" w:rsidTr="006A61DF">
        <w:trPr>
          <w:trHeight w:val="266"/>
        </w:trPr>
        <w:tc>
          <w:tcPr>
            <w:tcW w:w="8099" w:type="dxa"/>
            <w:tcMar>
              <w:top w:w="0" w:type="dxa"/>
              <w:left w:w="0" w:type="dxa"/>
              <w:bottom w:w="0" w:type="dxa"/>
              <w:right w:w="0" w:type="dxa"/>
            </w:tcMar>
          </w:tcPr>
          <w:p w:rsidR="00071754" w:rsidRPr="00F81AA2" w:rsidRDefault="00071754" w:rsidP="00305F30">
            <w:pPr>
              <w:tabs>
                <w:tab w:val="left" w:pos="3270"/>
              </w:tabs>
              <w:jc w:val="left"/>
              <w:rPr>
                <w:rFonts w:eastAsia="Calibri" w:cs="Times New Roman"/>
                <w:szCs w:val="22"/>
                <w:u w:val="single"/>
                <w:lang w:val="en-US"/>
              </w:rPr>
            </w:pPr>
            <w:r w:rsidRPr="00F81AA2">
              <w:rPr>
                <w:rFonts w:eastAsia="Calibri" w:cs="Times New Roman"/>
                <w:color w:val="000000"/>
                <w:u w:val="single"/>
                <w:lang w:val="en-US"/>
              </w:rPr>
              <w:t>Weingarten, July 22, 2016</w:t>
            </w:r>
          </w:p>
          <w:p w:rsidR="00305F30" w:rsidRPr="00F81AA2" w:rsidRDefault="00305F30" w:rsidP="00305F30">
            <w:pPr>
              <w:tabs>
                <w:tab w:val="left" w:pos="3270"/>
              </w:tabs>
              <w:jc w:val="left"/>
              <w:rPr>
                <w:rFonts w:eastAsia="Calibri" w:cs="Times New Roman"/>
                <w:szCs w:val="22"/>
                <w:u w:val="single"/>
                <w:lang w:val="en-US"/>
              </w:rPr>
            </w:pPr>
          </w:p>
        </w:tc>
        <w:tc>
          <w:tcPr>
            <w:tcW w:w="2126" w:type="dxa"/>
            <w:vMerge w:val="restart"/>
            <w:tcMar>
              <w:top w:w="0" w:type="dxa"/>
              <w:left w:w="0" w:type="dxa"/>
              <w:bottom w:w="0" w:type="dxa"/>
              <w:right w:w="0" w:type="dxa"/>
            </w:tcMar>
          </w:tcPr>
          <w:p w:rsidR="00AA3DD5" w:rsidRPr="00F81AA2" w:rsidRDefault="00C34BA7" w:rsidP="006A61DF">
            <w:pPr>
              <w:tabs>
                <w:tab w:val="left" w:pos="709"/>
                <w:tab w:val="right" w:pos="2835"/>
              </w:tabs>
              <w:spacing w:line="200" w:lineRule="atLeast"/>
              <w:jc w:val="left"/>
              <w:rPr>
                <w:color w:val="6F6F6E"/>
                <w:sz w:val="14"/>
                <w:szCs w:val="14"/>
                <w:lang w:val="en-US"/>
              </w:rPr>
            </w:pPr>
            <w:r w:rsidRPr="00F81AA2">
              <w:rPr>
                <w:rFonts w:cs="Arial"/>
                <w:color w:val="auto"/>
                <w:sz w:val="14"/>
                <w:lang w:val="en-US"/>
              </w:rPr>
              <w:t>Contact details:</w:t>
            </w:r>
          </w:p>
          <w:p w:rsidR="00AA3DD5" w:rsidRPr="00F81AA2" w:rsidRDefault="00AA3DD5" w:rsidP="006A61DF">
            <w:pPr>
              <w:tabs>
                <w:tab w:val="left" w:pos="709"/>
                <w:tab w:val="right" w:pos="2835"/>
              </w:tabs>
              <w:spacing w:line="200" w:lineRule="atLeast"/>
              <w:jc w:val="left"/>
              <w:rPr>
                <w:color w:val="auto"/>
                <w:sz w:val="14"/>
                <w:szCs w:val="14"/>
                <w:lang w:val="en-US"/>
              </w:rPr>
            </w:pPr>
          </w:p>
          <w:p w:rsidR="006A61DF" w:rsidRPr="00F81AA2" w:rsidRDefault="006A61DF" w:rsidP="006A61DF">
            <w:pPr>
              <w:tabs>
                <w:tab w:val="left" w:pos="709"/>
                <w:tab w:val="right" w:pos="2835"/>
              </w:tabs>
              <w:spacing w:line="200" w:lineRule="atLeast"/>
              <w:jc w:val="left"/>
              <w:rPr>
                <w:color w:val="auto"/>
                <w:sz w:val="14"/>
                <w:szCs w:val="14"/>
                <w:lang w:val="en-US"/>
              </w:rPr>
            </w:pPr>
            <w:r w:rsidRPr="00F81AA2">
              <w:rPr>
                <w:rFonts w:cs="Arial"/>
                <w:color w:val="auto"/>
                <w:sz w:val="14"/>
                <w:lang w:val="en-US"/>
              </w:rPr>
              <w:t>Franz-Beer-Strasse 111</w:t>
            </w:r>
          </w:p>
          <w:p w:rsidR="006A61DF" w:rsidRPr="00F81AA2" w:rsidRDefault="006A61DF" w:rsidP="006A61DF">
            <w:pPr>
              <w:tabs>
                <w:tab w:val="left" w:pos="709"/>
                <w:tab w:val="right" w:pos="2835"/>
              </w:tabs>
              <w:spacing w:line="200" w:lineRule="atLeast"/>
              <w:jc w:val="left"/>
              <w:rPr>
                <w:color w:val="auto"/>
                <w:sz w:val="14"/>
                <w:szCs w:val="14"/>
                <w:lang w:val="en-US"/>
              </w:rPr>
            </w:pPr>
            <w:r w:rsidRPr="00F81AA2">
              <w:rPr>
                <w:rFonts w:cs="Arial"/>
                <w:color w:val="auto"/>
                <w:sz w:val="14"/>
                <w:lang w:val="en-US"/>
              </w:rPr>
              <w:t>88250 Weingarten</w:t>
            </w:r>
            <w:r w:rsidRPr="00F81AA2">
              <w:rPr>
                <w:rFonts w:cs="Arial"/>
                <w:color w:val="auto"/>
                <w:sz w:val="14"/>
                <w:lang w:val="en-US"/>
              </w:rPr>
              <w:br/>
              <w:t>Germany</w:t>
            </w:r>
          </w:p>
          <w:p w:rsidR="006A61DF" w:rsidRPr="00F81AA2" w:rsidRDefault="006A61DF" w:rsidP="006A61DF">
            <w:pPr>
              <w:tabs>
                <w:tab w:val="left" w:pos="709"/>
                <w:tab w:val="right" w:pos="2835"/>
              </w:tabs>
              <w:spacing w:line="200" w:lineRule="atLeast"/>
              <w:jc w:val="left"/>
              <w:rPr>
                <w:color w:val="auto"/>
                <w:sz w:val="14"/>
                <w:szCs w:val="14"/>
                <w:lang w:val="en-US"/>
              </w:rPr>
            </w:pPr>
          </w:p>
          <w:p w:rsidR="006A61DF" w:rsidRPr="00F81AA2" w:rsidRDefault="006A61DF" w:rsidP="006A61DF">
            <w:pPr>
              <w:tabs>
                <w:tab w:val="left" w:pos="709"/>
                <w:tab w:val="right" w:pos="2835"/>
              </w:tabs>
              <w:spacing w:line="200" w:lineRule="atLeast"/>
              <w:jc w:val="left"/>
              <w:rPr>
                <w:color w:val="auto"/>
                <w:sz w:val="14"/>
                <w:szCs w:val="14"/>
                <w:lang w:val="en-US"/>
              </w:rPr>
            </w:pPr>
            <w:r w:rsidRPr="00F81AA2">
              <w:rPr>
                <w:rFonts w:cs="Arial"/>
                <w:color w:val="auto"/>
                <w:sz w:val="14"/>
                <w:lang w:val="en-US"/>
              </w:rPr>
              <w:t>Tel: +49 (0)751 503 248</w:t>
            </w:r>
          </w:p>
          <w:p w:rsidR="006A61DF" w:rsidRPr="00F81AA2" w:rsidRDefault="006A61DF" w:rsidP="006A61DF">
            <w:pPr>
              <w:tabs>
                <w:tab w:val="left" w:pos="709"/>
                <w:tab w:val="right" w:pos="2835"/>
              </w:tabs>
              <w:spacing w:line="200" w:lineRule="atLeast"/>
              <w:jc w:val="left"/>
              <w:rPr>
                <w:color w:val="auto"/>
                <w:sz w:val="14"/>
                <w:szCs w:val="14"/>
                <w:lang w:val="en-US"/>
              </w:rPr>
            </w:pPr>
            <w:r w:rsidRPr="00F81AA2">
              <w:rPr>
                <w:rFonts w:cs="Arial"/>
                <w:color w:val="auto"/>
                <w:sz w:val="14"/>
                <w:lang w:val="en-US"/>
              </w:rPr>
              <w:t>Fax: +49 (0)</w:t>
            </w:r>
            <w:r w:rsidRPr="00F81AA2">
              <w:rPr>
                <w:rFonts w:eastAsia="Calibri" w:cs="Times New Roman"/>
                <w:color w:val="auto"/>
                <w:sz w:val="14"/>
                <w:lang w:val="en-US"/>
              </w:rPr>
              <w:t>751</w:t>
            </w:r>
            <w:r w:rsidRPr="00F81AA2">
              <w:rPr>
                <w:rFonts w:cs="Arial"/>
                <w:color w:val="auto"/>
                <w:sz w:val="14"/>
                <w:lang w:val="en-US"/>
              </w:rPr>
              <w:t xml:space="preserve"> 503 7248</w:t>
            </w:r>
          </w:p>
          <w:p w:rsidR="006A61DF" w:rsidRPr="00F81AA2" w:rsidRDefault="006A61DF" w:rsidP="006A61DF">
            <w:pPr>
              <w:tabs>
                <w:tab w:val="left" w:pos="709"/>
                <w:tab w:val="right" w:pos="2835"/>
              </w:tabs>
              <w:spacing w:line="200" w:lineRule="atLeast"/>
              <w:jc w:val="left"/>
              <w:rPr>
                <w:color w:val="auto"/>
                <w:sz w:val="14"/>
                <w:szCs w:val="14"/>
                <w:lang w:val="en-US"/>
              </w:rPr>
            </w:pPr>
            <w:r w:rsidRPr="00F81AA2">
              <w:rPr>
                <w:rFonts w:cs="Arial"/>
                <w:color w:val="auto"/>
                <w:sz w:val="14"/>
                <w:lang w:val="en-US"/>
              </w:rPr>
              <w:t xml:space="preserve">Cell: +49 (0)172 667 1341 </w:t>
            </w:r>
          </w:p>
          <w:p w:rsidR="006A61DF" w:rsidRPr="00F81AA2" w:rsidRDefault="00C93737" w:rsidP="006A61DF">
            <w:pPr>
              <w:tabs>
                <w:tab w:val="left" w:pos="709"/>
                <w:tab w:val="right" w:pos="2835"/>
              </w:tabs>
              <w:spacing w:line="200" w:lineRule="atLeast"/>
              <w:jc w:val="left"/>
              <w:rPr>
                <w:color w:val="auto"/>
                <w:sz w:val="14"/>
                <w:szCs w:val="14"/>
                <w:lang w:val="en-US"/>
              </w:rPr>
            </w:pPr>
            <w:hyperlink r:id="rId8" w:history="1">
              <w:r w:rsidR="00E15CB9" w:rsidRPr="00F81AA2">
                <w:rPr>
                  <w:rFonts w:cs="Arial"/>
                  <w:color w:val="auto"/>
                  <w:sz w:val="14"/>
                  <w:lang w:val="en-US"/>
                </w:rPr>
                <w:t>matthias.steybe@chg-</w:t>
              </w:r>
            </w:hyperlink>
          </w:p>
          <w:p w:rsidR="006A61DF" w:rsidRPr="00F81AA2" w:rsidRDefault="006A61DF" w:rsidP="006A61DF">
            <w:pPr>
              <w:tabs>
                <w:tab w:val="left" w:pos="709"/>
                <w:tab w:val="right" w:pos="2835"/>
              </w:tabs>
              <w:spacing w:line="200" w:lineRule="atLeast"/>
              <w:jc w:val="left"/>
              <w:rPr>
                <w:color w:val="auto"/>
                <w:sz w:val="14"/>
                <w:szCs w:val="14"/>
                <w:lang w:val="en-US"/>
              </w:rPr>
            </w:pPr>
            <w:r w:rsidRPr="00F81AA2">
              <w:rPr>
                <w:rFonts w:cs="Arial"/>
                <w:color w:val="auto"/>
                <w:sz w:val="14"/>
                <w:lang w:val="en-US"/>
              </w:rPr>
              <w:t>meridian.de</w:t>
            </w:r>
          </w:p>
          <w:p w:rsidR="006A61DF" w:rsidRPr="00F81AA2" w:rsidRDefault="006A61DF" w:rsidP="006A61DF">
            <w:pPr>
              <w:tabs>
                <w:tab w:val="left" w:pos="709"/>
                <w:tab w:val="right" w:pos="2835"/>
              </w:tabs>
              <w:spacing w:line="200" w:lineRule="atLeast"/>
              <w:jc w:val="left"/>
              <w:rPr>
                <w:color w:val="auto"/>
                <w:sz w:val="14"/>
                <w:szCs w:val="14"/>
                <w:lang w:val="en-US"/>
              </w:rPr>
            </w:pPr>
          </w:p>
          <w:p w:rsidR="006A61DF" w:rsidRPr="00F81AA2" w:rsidRDefault="006A61DF" w:rsidP="006A61DF">
            <w:pPr>
              <w:tabs>
                <w:tab w:val="left" w:pos="709"/>
                <w:tab w:val="right" w:pos="2835"/>
              </w:tabs>
              <w:spacing w:line="200" w:lineRule="atLeast"/>
              <w:jc w:val="left"/>
              <w:rPr>
                <w:color w:val="auto"/>
                <w:sz w:val="14"/>
                <w:szCs w:val="14"/>
                <w:lang w:val="en-US"/>
              </w:rPr>
            </w:pPr>
            <w:r w:rsidRPr="00F81AA2">
              <w:rPr>
                <w:rFonts w:cs="Arial"/>
                <w:color w:val="auto"/>
                <w:sz w:val="14"/>
                <w:lang w:val="en-US"/>
              </w:rPr>
              <w:t>www.chg-meridian.com</w:t>
            </w:r>
          </w:p>
          <w:p w:rsidR="00547CF9" w:rsidRPr="00F81AA2" w:rsidRDefault="00547CF9" w:rsidP="006A61DF">
            <w:pPr>
              <w:tabs>
                <w:tab w:val="center" w:pos="4513"/>
                <w:tab w:val="right" w:pos="9026"/>
              </w:tabs>
              <w:jc w:val="left"/>
              <w:rPr>
                <w:sz w:val="14"/>
                <w:szCs w:val="14"/>
                <w:lang w:val="en-US"/>
              </w:rPr>
            </w:pPr>
          </w:p>
        </w:tc>
      </w:tr>
      <w:tr w:rsidR="00547CF9" w:rsidRPr="00F81AA2" w:rsidTr="006A61DF">
        <w:trPr>
          <w:trHeight w:val="237"/>
        </w:trPr>
        <w:tc>
          <w:tcPr>
            <w:tcW w:w="8099" w:type="dxa"/>
            <w:tcMar>
              <w:top w:w="0" w:type="dxa"/>
              <w:left w:w="0" w:type="dxa"/>
              <w:bottom w:w="0" w:type="dxa"/>
              <w:right w:w="284" w:type="dxa"/>
            </w:tcMar>
          </w:tcPr>
          <w:p w:rsidR="00071754" w:rsidRPr="00F81AA2" w:rsidRDefault="00305F30" w:rsidP="00071754">
            <w:pPr>
              <w:rPr>
                <w:lang w:val="en-US"/>
              </w:rPr>
            </w:pPr>
            <w:r w:rsidRPr="00F81AA2">
              <w:rPr>
                <w:rFonts w:cs="Arial"/>
                <w:color w:val="000000"/>
                <w:lang w:val="en-US"/>
              </w:rPr>
              <w:t>The CHG-MERIDIAN Group generated buoyant revenue growth in the first half of 2016, with the volume of lease originations increasing by around 9 percent to almost €509 million. The Company, which is headquartered in the southern German town of Weingarten and has 36 branch offices in 23 countries, offers non-captive solutions for the financing and management of technology investments. "This growth is particularly encouraging in view of the low level of interest rates. It shows that customers recognize the added value of our solutions and that traditional loan finance is simply no match. We are extremely focused on our customers' market needs, and I am therefore optimistic about the rest of the year," said Jürgen Mossakowski, Chief Executive Officer of CHG-MERIDIAN.</w:t>
            </w:r>
          </w:p>
          <w:p w:rsidR="00305F30" w:rsidRPr="00F81AA2" w:rsidRDefault="00305F30" w:rsidP="00071754">
            <w:pPr>
              <w:pStyle w:val="berschrift3"/>
              <w:outlineLvl w:val="2"/>
              <w:rPr>
                <w:lang w:val="en-US"/>
              </w:rPr>
            </w:pPr>
          </w:p>
          <w:p w:rsidR="00305F30" w:rsidRPr="00F81AA2" w:rsidRDefault="00554238" w:rsidP="00071754">
            <w:pPr>
              <w:rPr>
                <w:rFonts w:eastAsiaTheme="majorEastAsia" w:cstheme="majorBidi"/>
                <w:b/>
                <w:szCs w:val="28"/>
                <w:lang w:val="en-US"/>
              </w:rPr>
            </w:pPr>
            <w:r w:rsidRPr="00F81AA2">
              <w:rPr>
                <w:rFonts w:eastAsiaTheme="majorEastAsia" w:cs="Arial"/>
                <w:b/>
                <w:color w:val="000000"/>
                <w:lang w:val="en-US"/>
              </w:rPr>
              <w:t>Momentum: Strong growth in southern and western Europe</w:t>
            </w:r>
          </w:p>
          <w:p w:rsidR="00305F30" w:rsidRPr="00F81AA2" w:rsidRDefault="00305F30" w:rsidP="00071754">
            <w:pPr>
              <w:rPr>
                <w:rFonts w:eastAsiaTheme="majorEastAsia" w:cstheme="majorBidi"/>
                <w:b/>
                <w:szCs w:val="28"/>
                <w:lang w:val="en-US"/>
              </w:rPr>
            </w:pPr>
          </w:p>
          <w:p w:rsidR="00071754" w:rsidRPr="00F81AA2" w:rsidRDefault="00147956" w:rsidP="00071754">
            <w:pPr>
              <w:rPr>
                <w:lang w:val="en-US"/>
              </w:rPr>
            </w:pPr>
            <w:r w:rsidRPr="00F81AA2">
              <w:rPr>
                <w:rFonts w:cs="Arial"/>
                <w:color w:val="000000"/>
                <w:lang w:val="en-US"/>
              </w:rPr>
              <w:t xml:space="preserve">In its home market of Germany, where it has a large market share, CHG-MERIDIAN delivered impressive growth of 9.1 percent. The volume reported for the entire Central Europe region (Germany, Austria, Switzerland, Slovenia) lived up to expectations, rising by 8.5 percent to €264 million (H1 2015: €243 million). The other regions also performed well. Lease originations in the Southern Europe region (Italy, France, Spain) were up by 14.4 percent year on year, reaching almost €63 million (H1 2015: €54 million). The strongest rate of growth was achieved by the Western Europe region (Belgium, United Kingdom, Ireland, Netherlands), where the volume of lease originations climbed by 15.5 percent to €92 million (H1 2015: €79 million). </w:t>
            </w:r>
          </w:p>
          <w:p w:rsidR="00305F30" w:rsidRPr="00F81AA2" w:rsidRDefault="00305F30" w:rsidP="00071754">
            <w:pPr>
              <w:rPr>
                <w:lang w:val="en-US"/>
              </w:rPr>
            </w:pPr>
          </w:p>
          <w:p w:rsidR="00305F30" w:rsidRPr="004010CE" w:rsidRDefault="00305F30" w:rsidP="00071754">
            <w:pPr>
              <w:rPr>
                <w:lang w:val="en-US"/>
              </w:rPr>
            </w:pPr>
            <w:r w:rsidRPr="00F81AA2">
              <w:rPr>
                <w:rFonts w:cs="Arial"/>
                <w:color w:val="000000"/>
                <w:lang w:val="en-US"/>
              </w:rPr>
              <w:t xml:space="preserve">In Central Europe, gross profit held steady at a high level, with slight growth of 2.7 percent. </w:t>
            </w:r>
            <w:r w:rsidRPr="004010CE">
              <w:rPr>
                <w:rFonts w:cs="Arial"/>
                <w:color w:val="000000"/>
                <w:lang w:val="en-US"/>
              </w:rPr>
              <w:t xml:space="preserve">This region therefore contributed 61.1 percent of total gross profit. With the exception of the Americas region, gross profit in the other markets was on a par with the prior-year period. Total gross profit amounted to just over €77 million, which was roughly the same as in the first half of last year. </w:t>
            </w:r>
          </w:p>
          <w:p w:rsidR="00305F30" w:rsidRPr="004010CE" w:rsidRDefault="00305F30" w:rsidP="00305F30">
            <w:pPr>
              <w:rPr>
                <w:lang w:val="en-US"/>
              </w:rPr>
            </w:pPr>
          </w:p>
          <w:p w:rsidR="00305F30" w:rsidRPr="004010CE" w:rsidRDefault="00554238" w:rsidP="00305F30">
            <w:pPr>
              <w:rPr>
                <w:lang w:val="en-US"/>
              </w:rPr>
            </w:pPr>
            <w:r w:rsidRPr="004010CE">
              <w:rPr>
                <w:rFonts w:cs="Arial"/>
                <w:b/>
                <w:color w:val="000000"/>
                <w:lang w:val="en-US"/>
              </w:rPr>
              <w:t>New customers: Small rise in the proportion of business with new customers</w:t>
            </w:r>
            <w:r w:rsidRPr="004010CE">
              <w:rPr>
                <w:rFonts w:cs="Arial"/>
                <w:color w:val="000000"/>
                <w:lang w:val="en-US"/>
              </w:rPr>
              <w:t xml:space="preserve"> </w:t>
            </w:r>
          </w:p>
          <w:p w:rsidR="00305F30" w:rsidRPr="004010CE" w:rsidRDefault="00305F30" w:rsidP="00305F30">
            <w:pPr>
              <w:rPr>
                <w:lang w:val="en-US"/>
              </w:rPr>
            </w:pPr>
          </w:p>
          <w:p w:rsidR="00305F30" w:rsidRPr="004010CE" w:rsidRDefault="00305F30" w:rsidP="00305F30">
            <w:pPr>
              <w:rPr>
                <w:rFonts w:cs="Arial"/>
                <w:color w:val="000000"/>
                <w:lang w:val="en-US"/>
              </w:rPr>
            </w:pPr>
            <w:r w:rsidRPr="004010CE">
              <w:rPr>
                <w:rFonts w:cs="Arial"/>
                <w:color w:val="000000"/>
                <w:lang w:val="en-US"/>
              </w:rPr>
              <w:t xml:space="preserve">Whereas the number of current leases increased by 1.9 percent to 69,356 despite a slight fall in the number of customers, the proportion of business with new customers advanced by 1 percentage point to 27 percent. By contrast, services at the end of the investment cycle lagged behind expectations, with a slight decrease in both the number of remarketed assets </w:t>
            </w:r>
            <w:r w:rsidRPr="004010CE">
              <w:rPr>
                <w:rFonts w:cs="Arial"/>
                <w:color w:val="000000"/>
                <w:lang w:val="en-US"/>
              </w:rPr>
              <w:lastRenderedPageBreak/>
              <w:t>and the number of assets undergoing secure data erasure. The Company believes this is only a temporary phenomenon, however.</w:t>
            </w:r>
          </w:p>
          <w:p w:rsidR="004010CE" w:rsidRPr="004010CE" w:rsidRDefault="004010CE" w:rsidP="00305F30">
            <w:pPr>
              <w:rPr>
                <w:rFonts w:cs="Arial"/>
                <w:color w:val="000000"/>
                <w:lang w:val="en-US"/>
              </w:rPr>
            </w:pPr>
          </w:p>
          <w:p w:rsidR="004010CE" w:rsidRPr="004010CE" w:rsidRDefault="004010CE" w:rsidP="004010CE">
            <w:pPr>
              <w:rPr>
                <w:lang w:val="en-US"/>
              </w:rPr>
            </w:pPr>
            <w:r w:rsidRPr="004010CE">
              <w:rPr>
                <w:rFonts w:cs="Arial"/>
                <w:b/>
                <w:color w:val="000000"/>
                <w:lang w:val="en-US"/>
              </w:rPr>
              <w:t>Innovation: Enterprise mobility solution is an opportunity for growth</w:t>
            </w:r>
          </w:p>
          <w:p w:rsidR="004010CE" w:rsidRPr="004010CE" w:rsidRDefault="004010CE" w:rsidP="004010CE">
            <w:pPr>
              <w:rPr>
                <w:lang w:val="en-US"/>
              </w:rPr>
            </w:pPr>
          </w:p>
          <w:p w:rsidR="004010CE" w:rsidRPr="004010CE" w:rsidRDefault="004010CE" w:rsidP="004010CE">
            <w:pPr>
              <w:rPr>
                <w:color w:val="auto"/>
                <w:lang w:val="en-US"/>
              </w:rPr>
            </w:pPr>
            <w:r w:rsidRPr="004010CE">
              <w:rPr>
                <w:rFonts w:cs="Arial"/>
                <w:color w:val="auto"/>
                <w:lang w:val="en-US"/>
              </w:rPr>
              <w:t>Thanks to the TESMA® software platform, which was launched in April for the commercial and technical management of technology landscapes, and the new Enterprise Mobility Solutions (EMS), the product pipeline is in a healthy state. The EMS package comprises efficient customized business concepts for mobile technology. Frank Kottmann, member of the Management Board and Chief Sales Officer for Central Europe, believes this field offers particularly attractive potential for future sales success: "We offer an end-to-end and highly flexible solution in an area of application that has been dominated by a patchwork of individual products until now." The use of the EMS package means customers no longer have to concern themselves with security issues, repairs, or interface compatibility because they have an efficient service provider at their side, freeing them up to concentrate on their day-to-day core business. Given the advances in solution development at CHG-MERIDIAN, Mossakowski is convinced that "the ongoing enhancement of our products and the clear focus on customer benefits, easy operation, and cost transparency will continue to provide solid foundations for further increases in revenue and profit."</w:t>
            </w:r>
          </w:p>
          <w:p w:rsidR="004010CE" w:rsidRPr="00F81AA2" w:rsidRDefault="004010CE" w:rsidP="004010CE">
            <w:pPr>
              <w:pStyle w:val="berschrift2"/>
              <w:outlineLvl w:val="1"/>
              <w:rPr>
                <w:lang w:val="en-US"/>
              </w:rPr>
            </w:pPr>
          </w:p>
          <w:p w:rsidR="004010CE" w:rsidRPr="00F81AA2" w:rsidRDefault="004010CE" w:rsidP="004010CE">
            <w:pPr>
              <w:rPr>
                <w:lang w:val="en-US"/>
              </w:rPr>
            </w:pPr>
            <w:r w:rsidRPr="00F81AA2">
              <w:rPr>
                <w:rFonts w:cs="Arial"/>
                <w:color w:val="000000"/>
                <w:lang w:val="en-US"/>
              </w:rPr>
              <w:t xml:space="preserve">Further information and photos can be found at </w:t>
            </w:r>
            <w:hyperlink r:id="rId9" w:history="1">
              <w:r w:rsidRPr="00F81AA2">
                <w:rPr>
                  <w:rStyle w:val="Hyperlink"/>
                  <w:rFonts w:cs="Arial"/>
                  <w:b/>
                  <w:color w:val="auto"/>
                  <w:lang w:val="en-US"/>
                </w:rPr>
                <w:t>www.chg-meridian.com</w:t>
              </w:r>
            </w:hyperlink>
          </w:p>
          <w:p w:rsidR="00071754" w:rsidRPr="00F81AA2" w:rsidRDefault="00071754" w:rsidP="00071754">
            <w:pPr>
              <w:rPr>
                <w:lang w:val="en-US"/>
              </w:rPr>
            </w:pPr>
          </w:p>
        </w:tc>
        <w:tc>
          <w:tcPr>
            <w:tcW w:w="2126" w:type="dxa"/>
            <w:vMerge/>
            <w:tcMar>
              <w:top w:w="0" w:type="dxa"/>
              <w:left w:w="0" w:type="dxa"/>
              <w:bottom w:w="0" w:type="dxa"/>
              <w:right w:w="284" w:type="dxa"/>
            </w:tcMar>
          </w:tcPr>
          <w:p w:rsidR="00547CF9" w:rsidRPr="00F81AA2" w:rsidRDefault="00547CF9" w:rsidP="00547CF9">
            <w:pPr>
              <w:rPr>
                <w:szCs w:val="14"/>
                <w:lang w:val="en-US"/>
              </w:rPr>
            </w:pPr>
          </w:p>
        </w:tc>
      </w:tr>
    </w:tbl>
    <w:p w:rsidR="00AA3DD5" w:rsidRPr="00F81AA2" w:rsidRDefault="00AA3DD5" w:rsidP="00AA3DD5">
      <w:pPr>
        <w:rPr>
          <w:lang w:val="en-US"/>
        </w:rPr>
      </w:pPr>
    </w:p>
    <w:tbl>
      <w:tblPr>
        <w:tblStyle w:val="Tabellenraster2"/>
        <w:tblW w:w="9356" w:type="dxa"/>
        <w:tblBorders>
          <w:insideH w:val="none" w:sz="0" w:space="0" w:color="auto"/>
          <w:insideV w:val="none" w:sz="0" w:space="0" w:color="auto"/>
        </w:tblBorders>
        <w:tblLayout w:type="fixed"/>
        <w:tblLook w:val="04A0" w:firstRow="1" w:lastRow="0" w:firstColumn="1" w:lastColumn="0" w:noHBand="0" w:noVBand="1"/>
      </w:tblPr>
      <w:tblGrid>
        <w:gridCol w:w="9356"/>
      </w:tblGrid>
      <w:tr w:rsidR="00AA3DD5" w:rsidRPr="00F81AA2" w:rsidTr="00E16161">
        <w:trPr>
          <w:trHeight w:val="3961"/>
        </w:trPr>
        <w:tc>
          <w:tcPr>
            <w:tcW w:w="9356" w:type="dxa"/>
            <w:tcMar>
              <w:top w:w="0" w:type="dxa"/>
              <w:left w:w="0" w:type="dxa"/>
              <w:bottom w:w="0" w:type="dxa"/>
              <w:right w:w="284" w:type="dxa"/>
            </w:tcMar>
          </w:tcPr>
          <w:p w:rsidR="00AA3DD5" w:rsidRPr="00F81AA2" w:rsidRDefault="00AA3DD5" w:rsidP="00071754">
            <w:pPr>
              <w:rPr>
                <w:lang w:val="en-US"/>
              </w:rPr>
            </w:pPr>
            <w:r w:rsidRPr="00F81AA2">
              <w:rPr>
                <w:rFonts w:cs="Arial"/>
                <w:color w:val="000000"/>
                <w:lang w:val="en-US"/>
              </w:rPr>
              <w:t xml:space="preserve"> </w:t>
            </w:r>
          </w:p>
          <w:p w:rsidR="00721ADA" w:rsidRPr="00F81AA2" w:rsidRDefault="00721ADA"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721ADA" w:rsidRDefault="00721ADA"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Default="004010CE" w:rsidP="00071754">
            <w:pPr>
              <w:rPr>
                <w:lang w:val="en-US"/>
              </w:rPr>
            </w:pPr>
          </w:p>
          <w:p w:rsidR="004010CE" w:rsidRPr="00F81AA2" w:rsidRDefault="004010CE"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721ADA" w:rsidRPr="00F81AA2" w:rsidRDefault="00721ADA" w:rsidP="00071754">
            <w:pPr>
              <w:rPr>
                <w:lang w:val="en-US"/>
              </w:rPr>
            </w:pPr>
          </w:p>
          <w:p w:rsidR="00AA3DD5" w:rsidRPr="00F81AA2" w:rsidRDefault="00AA3DD5" w:rsidP="000733A9">
            <w:pPr>
              <w:pStyle w:val="AufzhlungspunkteCHG-MERIDIAN"/>
              <w:numPr>
                <w:ilvl w:val="0"/>
                <w:numId w:val="0"/>
              </w:numPr>
              <w:rPr>
                <w:noProof/>
                <w:lang w:val="en-US"/>
              </w:rPr>
            </w:pPr>
          </w:p>
        </w:tc>
      </w:tr>
      <w:tr w:rsidR="006779EB" w:rsidRPr="00F81AA2" w:rsidTr="00E16161">
        <w:trPr>
          <w:trHeight w:val="429"/>
        </w:trPr>
        <w:tc>
          <w:tcPr>
            <w:tcW w:w="9356" w:type="dxa"/>
            <w:tcMar>
              <w:top w:w="0" w:type="dxa"/>
              <w:left w:w="0" w:type="dxa"/>
              <w:bottom w:w="0" w:type="dxa"/>
              <w:right w:w="284" w:type="dxa"/>
            </w:tcMar>
          </w:tcPr>
          <w:p w:rsidR="00C96EAA" w:rsidRPr="00F81AA2" w:rsidRDefault="00C96EAA" w:rsidP="00C96EAA">
            <w:pPr>
              <w:pStyle w:val="berschrift3"/>
              <w:outlineLvl w:val="2"/>
              <w:rPr>
                <w:lang w:val="en-US"/>
              </w:rPr>
            </w:pPr>
            <w:r w:rsidRPr="00F81AA2">
              <w:rPr>
                <w:rFonts w:cs="Arial"/>
                <w:color w:val="000000"/>
                <w:lang w:val="en-US"/>
              </w:rPr>
              <w:lastRenderedPageBreak/>
              <w:t>Key performance indicators of the CHG-MERIDIAN Group for the six months to June 30, 2016</w:t>
            </w:r>
          </w:p>
          <w:p w:rsidR="006779EB" w:rsidRPr="00F81AA2" w:rsidRDefault="006779EB" w:rsidP="00492B12">
            <w:pPr>
              <w:rPr>
                <w:b/>
                <w:lang w:val="en-US"/>
              </w:rPr>
            </w:pPr>
          </w:p>
        </w:tc>
      </w:tr>
      <w:tr w:rsidR="006779EB" w:rsidRPr="00F81AA2" w:rsidTr="00E16161">
        <w:trPr>
          <w:trHeight w:val="515"/>
        </w:trPr>
        <w:tc>
          <w:tcPr>
            <w:tcW w:w="9356" w:type="dxa"/>
            <w:tcMar>
              <w:top w:w="0" w:type="dxa"/>
              <w:left w:w="0" w:type="dxa"/>
              <w:bottom w:w="0" w:type="dxa"/>
              <w:right w:w="284" w:type="dxa"/>
            </w:tcMar>
          </w:tcPr>
          <w:tbl>
            <w:tblPr>
              <w:tblpPr w:leftFromText="180" w:rightFromText="180" w:vertAnchor="text" w:horzAnchor="margin" w:tblpY="-160"/>
              <w:tblOverlap w:val="never"/>
              <w:tblW w:w="9072" w:type="dxa"/>
              <w:tblLayout w:type="fixed"/>
              <w:tblCellMar>
                <w:left w:w="70" w:type="dxa"/>
                <w:right w:w="70" w:type="dxa"/>
              </w:tblCellMar>
              <w:tblLook w:val="04A0" w:firstRow="1" w:lastRow="0" w:firstColumn="1" w:lastColumn="0" w:noHBand="0" w:noVBand="1"/>
            </w:tblPr>
            <w:tblGrid>
              <w:gridCol w:w="3686"/>
              <w:gridCol w:w="1984"/>
              <w:gridCol w:w="1701"/>
              <w:gridCol w:w="1701"/>
            </w:tblGrid>
            <w:tr w:rsidR="00C96EAA" w:rsidRPr="00F81AA2" w:rsidTr="0022572B">
              <w:trPr>
                <w:trHeight w:val="373"/>
              </w:trPr>
              <w:tc>
                <w:tcPr>
                  <w:tcW w:w="3686" w:type="dxa"/>
                  <w:shd w:val="clear" w:color="auto" w:fill="ACA53D"/>
                  <w:noWrap/>
                  <w:vAlign w:val="center"/>
                  <w:hideMark/>
                </w:tcPr>
                <w:p w:rsidR="00C96EAA" w:rsidRPr="00F81AA2" w:rsidRDefault="00C96EAA" w:rsidP="00C96EAA">
                  <w:pPr>
                    <w:jc w:val="left"/>
                    <w:rPr>
                      <w:b/>
                      <w:color w:val="F8F8F8"/>
                      <w:szCs w:val="19"/>
                      <w:lang w:val="en-US"/>
                    </w:rPr>
                  </w:pPr>
                  <w:r w:rsidRPr="00F81AA2">
                    <w:rPr>
                      <w:rFonts w:cs="Arial"/>
                      <w:b/>
                      <w:color w:val="F8F8F8"/>
                      <w:lang w:val="en-US"/>
                    </w:rPr>
                    <w:t>€000's</w:t>
                  </w:r>
                </w:p>
              </w:tc>
              <w:tc>
                <w:tcPr>
                  <w:tcW w:w="1984" w:type="dxa"/>
                  <w:shd w:val="clear" w:color="auto" w:fill="ACA53D"/>
                  <w:noWrap/>
                  <w:vAlign w:val="center"/>
                  <w:hideMark/>
                </w:tcPr>
                <w:p w:rsidR="00C96EAA" w:rsidRPr="00F81AA2" w:rsidRDefault="00305F30" w:rsidP="00C96EAA">
                  <w:pPr>
                    <w:jc w:val="right"/>
                    <w:rPr>
                      <w:b/>
                      <w:color w:val="F8F8F8"/>
                      <w:szCs w:val="19"/>
                      <w:lang w:val="en-US"/>
                    </w:rPr>
                  </w:pPr>
                  <w:r w:rsidRPr="00F81AA2">
                    <w:rPr>
                      <w:rFonts w:cs="Arial"/>
                      <w:b/>
                      <w:color w:val="F8F8F8"/>
                      <w:lang w:val="en-US"/>
                    </w:rPr>
                    <w:t>H1 2016</w:t>
                  </w:r>
                </w:p>
              </w:tc>
              <w:tc>
                <w:tcPr>
                  <w:tcW w:w="1701" w:type="dxa"/>
                  <w:shd w:val="clear" w:color="auto" w:fill="ACA53D"/>
                  <w:noWrap/>
                  <w:vAlign w:val="center"/>
                  <w:hideMark/>
                </w:tcPr>
                <w:p w:rsidR="00C96EAA" w:rsidRPr="00F81AA2" w:rsidRDefault="00305F30" w:rsidP="00DD7493">
                  <w:pPr>
                    <w:jc w:val="right"/>
                    <w:rPr>
                      <w:b/>
                      <w:color w:val="F8F8F8"/>
                      <w:szCs w:val="19"/>
                      <w:lang w:val="en-US"/>
                    </w:rPr>
                  </w:pPr>
                  <w:r w:rsidRPr="00F81AA2">
                    <w:rPr>
                      <w:rFonts w:cs="Arial"/>
                      <w:b/>
                      <w:color w:val="F8F8F8"/>
                      <w:lang w:val="en-US"/>
                    </w:rPr>
                    <w:t>H1 2015</w:t>
                  </w:r>
                </w:p>
              </w:tc>
              <w:tc>
                <w:tcPr>
                  <w:tcW w:w="1701" w:type="dxa"/>
                  <w:shd w:val="clear" w:color="auto" w:fill="ACA53D"/>
                  <w:vAlign w:val="center"/>
                </w:tcPr>
                <w:p w:rsidR="00C96EAA" w:rsidRPr="00F81AA2" w:rsidRDefault="00C96EAA" w:rsidP="00C96EAA">
                  <w:pPr>
                    <w:jc w:val="right"/>
                    <w:rPr>
                      <w:b/>
                      <w:color w:val="F8F8F8"/>
                      <w:szCs w:val="19"/>
                      <w:lang w:val="en-US"/>
                    </w:rPr>
                  </w:pPr>
                  <w:r w:rsidRPr="00F81AA2">
                    <w:rPr>
                      <w:rFonts w:cs="Arial"/>
                      <w:b/>
                      <w:color w:val="F8F8F8"/>
                      <w:lang w:val="en-US"/>
                    </w:rPr>
                    <w:t>2015</w:t>
                  </w:r>
                </w:p>
              </w:tc>
            </w:tr>
            <w:tr w:rsidR="00C96EAA" w:rsidRPr="00F81AA2" w:rsidTr="0022572B">
              <w:trPr>
                <w:trHeight w:val="426"/>
              </w:trPr>
              <w:tc>
                <w:tcPr>
                  <w:tcW w:w="3686" w:type="dxa"/>
                  <w:noWrap/>
                  <w:vAlign w:val="bottom"/>
                  <w:hideMark/>
                </w:tcPr>
                <w:p w:rsidR="00C96EAA" w:rsidRPr="00F81AA2" w:rsidRDefault="00C96EAA" w:rsidP="00C96EAA">
                  <w:pPr>
                    <w:jc w:val="left"/>
                    <w:rPr>
                      <w:rFonts w:eastAsia="Times New Roman" w:cs="Arial"/>
                      <w:color w:val="000000"/>
                      <w:szCs w:val="19"/>
                      <w:lang w:val="en-US" w:eastAsia="de-DE"/>
                    </w:rPr>
                  </w:pPr>
                  <w:r w:rsidRPr="00F81AA2">
                    <w:rPr>
                      <w:rFonts w:eastAsia="Times New Roman" w:cs="Arial"/>
                      <w:color w:val="000000"/>
                      <w:lang w:val="en-US"/>
                    </w:rPr>
                    <w:t>Group lease originations</w:t>
                  </w:r>
                </w:p>
              </w:tc>
              <w:tc>
                <w:tcPr>
                  <w:tcW w:w="1984" w:type="dxa"/>
                  <w:noWrap/>
                  <w:vAlign w:val="bottom"/>
                </w:tcPr>
                <w:p w:rsidR="00C96EAA" w:rsidRPr="00F81AA2" w:rsidRDefault="00DD7493" w:rsidP="00C96EAA">
                  <w:pPr>
                    <w:jc w:val="right"/>
                    <w:rPr>
                      <w:rFonts w:eastAsia="Times New Roman" w:cs="Arial"/>
                      <w:szCs w:val="19"/>
                      <w:lang w:val="en-US" w:eastAsia="de-DE"/>
                    </w:rPr>
                  </w:pPr>
                  <w:r w:rsidRPr="00F81AA2">
                    <w:rPr>
                      <w:rFonts w:eastAsia="Times New Roman" w:cs="Arial"/>
                      <w:color w:val="000000"/>
                      <w:lang w:val="en-US"/>
                    </w:rPr>
                    <w:t>508,953</w:t>
                  </w:r>
                </w:p>
              </w:tc>
              <w:tc>
                <w:tcPr>
                  <w:tcW w:w="1701" w:type="dxa"/>
                  <w:noWrap/>
                  <w:vAlign w:val="bottom"/>
                  <w:hideMark/>
                </w:tcPr>
                <w:p w:rsidR="00C96EAA" w:rsidRPr="00F81AA2" w:rsidRDefault="00DD7493" w:rsidP="00C96EAA">
                  <w:pPr>
                    <w:jc w:val="right"/>
                    <w:rPr>
                      <w:rFonts w:eastAsia="Times New Roman" w:cs="Arial"/>
                      <w:szCs w:val="19"/>
                      <w:lang w:val="en-US" w:eastAsia="de-DE"/>
                    </w:rPr>
                  </w:pPr>
                  <w:r w:rsidRPr="00F81AA2">
                    <w:rPr>
                      <w:rFonts w:eastAsia="Times New Roman" w:cs="Arial"/>
                      <w:color w:val="000000"/>
                      <w:lang w:val="en-US"/>
                    </w:rPr>
                    <w:t>468,246</w:t>
                  </w:r>
                </w:p>
              </w:tc>
              <w:tc>
                <w:tcPr>
                  <w:tcW w:w="1701" w:type="dxa"/>
                  <w:vAlign w:val="bottom"/>
                </w:tcPr>
                <w:p w:rsidR="00C96EAA" w:rsidRPr="00F81AA2" w:rsidRDefault="00C96EAA" w:rsidP="00C96EAA">
                  <w:pPr>
                    <w:jc w:val="right"/>
                    <w:rPr>
                      <w:rFonts w:eastAsia="Times New Roman" w:cs="Arial"/>
                      <w:szCs w:val="19"/>
                      <w:lang w:val="en-US" w:eastAsia="de-DE"/>
                    </w:rPr>
                  </w:pPr>
                  <w:r w:rsidRPr="00F81AA2">
                    <w:rPr>
                      <w:rFonts w:eastAsia="Times New Roman" w:cs="Arial"/>
                      <w:color w:val="000000"/>
                      <w:lang w:val="en-US"/>
                    </w:rPr>
                    <w:t>1,056,511</w:t>
                  </w:r>
                </w:p>
              </w:tc>
            </w:tr>
            <w:tr w:rsidR="00C96EAA" w:rsidRPr="00F81AA2" w:rsidTr="0022572B">
              <w:trPr>
                <w:trHeight w:val="426"/>
              </w:trPr>
              <w:tc>
                <w:tcPr>
                  <w:tcW w:w="3686" w:type="dxa"/>
                  <w:shd w:val="clear" w:color="auto" w:fill="FFFFFF" w:themeFill="background1" w:themeFillTint="66"/>
                  <w:noWrap/>
                  <w:vAlign w:val="bottom"/>
                  <w:hideMark/>
                </w:tcPr>
                <w:p w:rsidR="00C96EAA" w:rsidRPr="00F81AA2" w:rsidRDefault="00C96EAA" w:rsidP="00C96EAA">
                  <w:pPr>
                    <w:jc w:val="left"/>
                    <w:rPr>
                      <w:rFonts w:eastAsia="Times New Roman" w:cs="Arial"/>
                      <w:color w:val="000000"/>
                      <w:szCs w:val="19"/>
                      <w:lang w:val="en-US" w:eastAsia="de-DE"/>
                    </w:rPr>
                  </w:pPr>
                  <w:r w:rsidRPr="00F81AA2">
                    <w:rPr>
                      <w:rFonts w:eastAsia="Times New Roman" w:cs="Arial"/>
                      <w:color w:val="000000"/>
                      <w:lang w:val="en-US"/>
                    </w:rPr>
                    <w:t>By region:</w:t>
                  </w:r>
                </w:p>
              </w:tc>
              <w:tc>
                <w:tcPr>
                  <w:tcW w:w="1984" w:type="dxa"/>
                  <w:shd w:val="clear" w:color="auto" w:fill="FFFFFF" w:themeFill="background1" w:themeFillTint="66"/>
                  <w:noWrap/>
                  <w:vAlign w:val="bottom"/>
                </w:tcPr>
                <w:p w:rsidR="00C96EAA" w:rsidRPr="00F81AA2" w:rsidRDefault="00C96EAA" w:rsidP="00C96EAA">
                  <w:pPr>
                    <w:jc w:val="left"/>
                    <w:rPr>
                      <w:rFonts w:ascii="Calibri" w:hAnsi="Calibri"/>
                      <w:sz w:val="20"/>
                      <w:szCs w:val="20"/>
                      <w:lang w:val="en-US" w:eastAsia="de-DE"/>
                    </w:rPr>
                  </w:pPr>
                </w:p>
              </w:tc>
              <w:tc>
                <w:tcPr>
                  <w:tcW w:w="1701" w:type="dxa"/>
                  <w:shd w:val="clear" w:color="auto" w:fill="FFFFFF" w:themeFill="background1" w:themeFillTint="66"/>
                  <w:noWrap/>
                  <w:vAlign w:val="bottom"/>
                  <w:hideMark/>
                </w:tcPr>
                <w:p w:rsidR="00C96EAA" w:rsidRPr="00F81AA2" w:rsidRDefault="00C96EAA" w:rsidP="00C96EAA">
                  <w:pPr>
                    <w:jc w:val="left"/>
                    <w:rPr>
                      <w:rFonts w:ascii="Calibri" w:hAnsi="Calibri"/>
                      <w:sz w:val="20"/>
                      <w:szCs w:val="20"/>
                      <w:lang w:val="en-US" w:eastAsia="de-DE"/>
                    </w:rPr>
                  </w:pPr>
                </w:p>
              </w:tc>
              <w:tc>
                <w:tcPr>
                  <w:tcW w:w="1701" w:type="dxa"/>
                  <w:shd w:val="clear" w:color="auto" w:fill="FFFFFF" w:themeFill="background1" w:themeFillTint="66"/>
                </w:tcPr>
                <w:p w:rsidR="00C96EAA" w:rsidRPr="00F81AA2" w:rsidRDefault="00C96EAA" w:rsidP="00C96EAA">
                  <w:pPr>
                    <w:jc w:val="left"/>
                    <w:rPr>
                      <w:rFonts w:ascii="Calibri" w:hAnsi="Calibri"/>
                      <w:sz w:val="20"/>
                      <w:szCs w:val="20"/>
                      <w:lang w:val="en-US" w:eastAsia="de-DE"/>
                    </w:rPr>
                  </w:pPr>
                </w:p>
              </w:tc>
            </w:tr>
            <w:tr w:rsidR="00C96EAA" w:rsidRPr="00F81AA2" w:rsidTr="0022572B">
              <w:trPr>
                <w:trHeight w:val="426"/>
              </w:trPr>
              <w:tc>
                <w:tcPr>
                  <w:tcW w:w="3686" w:type="dxa"/>
                  <w:shd w:val="clear" w:color="auto" w:fill="FFFFFF" w:themeFill="background1" w:themeFillTint="66"/>
                  <w:noWrap/>
                  <w:vAlign w:val="bottom"/>
                  <w:hideMark/>
                </w:tcPr>
                <w:p w:rsidR="00C96EAA" w:rsidRPr="00F81AA2" w:rsidRDefault="00C96EAA" w:rsidP="00C96EAA">
                  <w:pPr>
                    <w:jc w:val="left"/>
                    <w:rPr>
                      <w:rFonts w:eastAsia="Times New Roman" w:cs="Arial"/>
                      <w:color w:val="000000"/>
                      <w:szCs w:val="19"/>
                      <w:lang w:val="en-US" w:eastAsia="de-DE"/>
                    </w:rPr>
                  </w:pPr>
                  <w:r w:rsidRPr="00F81AA2">
                    <w:rPr>
                      <w:rFonts w:eastAsia="Times New Roman" w:cs="Arial"/>
                      <w:color w:val="000000"/>
                      <w:lang w:val="en-US"/>
                    </w:rPr>
                    <w:t>Central Europe (Germany, Austria, Switzerland, Slovenia)</w:t>
                  </w:r>
                </w:p>
              </w:tc>
              <w:tc>
                <w:tcPr>
                  <w:tcW w:w="1984" w:type="dxa"/>
                  <w:shd w:val="clear" w:color="auto" w:fill="FFFFFF" w:themeFill="background1" w:themeFillTint="66"/>
                  <w:noWrap/>
                  <w:vAlign w:val="bottom"/>
                </w:tcPr>
                <w:p w:rsidR="00C96EAA" w:rsidRPr="00F81AA2" w:rsidRDefault="00DD7493" w:rsidP="00C96EAA">
                  <w:pPr>
                    <w:jc w:val="right"/>
                    <w:rPr>
                      <w:rFonts w:eastAsia="Times New Roman" w:cs="Arial"/>
                      <w:szCs w:val="19"/>
                      <w:lang w:val="en-US" w:eastAsia="de-DE"/>
                    </w:rPr>
                  </w:pPr>
                  <w:r w:rsidRPr="00F81AA2">
                    <w:rPr>
                      <w:rFonts w:eastAsia="Times New Roman" w:cs="Arial"/>
                      <w:color w:val="000000"/>
                      <w:lang w:val="en-US"/>
                    </w:rPr>
                    <w:t>263,910</w:t>
                  </w:r>
                </w:p>
              </w:tc>
              <w:tc>
                <w:tcPr>
                  <w:tcW w:w="1701" w:type="dxa"/>
                  <w:shd w:val="clear" w:color="auto" w:fill="FFFFFF" w:themeFill="background1" w:themeFillTint="66"/>
                  <w:noWrap/>
                  <w:vAlign w:val="bottom"/>
                  <w:hideMark/>
                </w:tcPr>
                <w:p w:rsidR="00C96EAA" w:rsidRPr="00F81AA2" w:rsidRDefault="00DD7493" w:rsidP="00C96EAA">
                  <w:pPr>
                    <w:jc w:val="right"/>
                    <w:rPr>
                      <w:rFonts w:eastAsia="Times New Roman" w:cs="Arial"/>
                      <w:szCs w:val="19"/>
                      <w:lang w:val="en-US" w:eastAsia="de-DE"/>
                    </w:rPr>
                  </w:pPr>
                  <w:r w:rsidRPr="00F81AA2">
                    <w:rPr>
                      <w:rFonts w:eastAsia="Times New Roman" w:cs="Arial"/>
                      <w:color w:val="000000"/>
                      <w:lang w:val="en-US"/>
                    </w:rPr>
                    <w:t>243,189</w:t>
                  </w:r>
                </w:p>
              </w:tc>
              <w:tc>
                <w:tcPr>
                  <w:tcW w:w="1701" w:type="dxa"/>
                  <w:shd w:val="clear" w:color="auto" w:fill="FFFFFF" w:themeFill="background1" w:themeFillTint="66"/>
                  <w:vAlign w:val="bottom"/>
                </w:tcPr>
                <w:p w:rsidR="00C96EAA" w:rsidRPr="00F81AA2" w:rsidRDefault="00C96EAA" w:rsidP="00C96EAA">
                  <w:pPr>
                    <w:jc w:val="right"/>
                    <w:rPr>
                      <w:rFonts w:eastAsia="Times New Roman" w:cs="Arial"/>
                      <w:szCs w:val="19"/>
                      <w:lang w:val="en-US" w:eastAsia="de-DE"/>
                    </w:rPr>
                  </w:pPr>
                  <w:r w:rsidRPr="00F81AA2">
                    <w:rPr>
                      <w:rFonts w:eastAsia="Times New Roman" w:cs="Arial"/>
                      <w:color w:val="000000"/>
                      <w:lang w:val="en-US"/>
                    </w:rPr>
                    <w:t>540,573</w:t>
                  </w:r>
                </w:p>
              </w:tc>
            </w:tr>
            <w:tr w:rsidR="00C96EAA" w:rsidRPr="00F81AA2" w:rsidTr="0022572B">
              <w:trPr>
                <w:trHeight w:val="426"/>
              </w:trPr>
              <w:tc>
                <w:tcPr>
                  <w:tcW w:w="3686" w:type="dxa"/>
                  <w:shd w:val="clear" w:color="auto" w:fill="FFFFFF" w:themeFill="background1" w:themeFillTint="66"/>
                  <w:noWrap/>
                  <w:vAlign w:val="bottom"/>
                  <w:hideMark/>
                </w:tcPr>
                <w:p w:rsidR="00C96EAA" w:rsidRPr="00F81AA2" w:rsidRDefault="00C96EAA" w:rsidP="00C96EAA">
                  <w:pPr>
                    <w:jc w:val="left"/>
                    <w:rPr>
                      <w:rFonts w:eastAsia="Times New Roman" w:cs="Arial"/>
                      <w:color w:val="000000"/>
                      <w:szCs w:val="19"/>
                      <w:lang w:val="en-US" w:eastAsia="de-DE"/>
                    </w:rPr>
                  </w:pPr>
                  <w:r w:rsidRPr="00F81AA2">
                    <w:rPr>
                      <w:rFonts w:eastAsia="Times New Roman" w:cs="Arial"/>
                      <w:color w:val="000000"/>
                      <w:lang w:val="en-US"/>
                    </w:rPr>
                    <w:t xml:space="preserve">Western Europe </w:t>
                  </w:r>
                </w:p>
              </w:tc>
              <w:tc>
                <w:tcPr>
                  <w:tcW w:w="1984" w:type="dxa"/>
                  <w:shd w:val="clear" w:color="auto" w:fill="FFFFFF" w:themeFill="background1" w:themeFillTint="66"/>
                  <w:noWrap/>
                  <w:vAlign w:val="bottom"/>
                </w:tcPr>
                <w:p w:rsidR="00C96EAA" w:rsidRPr="00F81AA2" w:rsidRDefault="00DD7493" w:rsidP="00C96EAA">
                  <w:pPr>
                    <w:jc w:val="right"/>
                    <w:rPr>
                      <w:rFonts w:eastAsia="Times New Roman" w:cs="Arial"/>
                      <w:szCs w:val="19"/>
                      <w:lang w:val="en-US" w:eastAsia="de-DE"/>
                    </w:rPr>
                  </w:pPr>
                  <w:r w:rsidRPr="00F81AA2">
                    <w:rPr>
                      <w:rFonts w:eastAsia="Times New Roman" w:cs="Arial"/>
                      <w:color w:val="000000"/>
                      <w:lang w:val="en-US"/>
                    </w:rPr>
                    <w:t>91,964</w:t>
                  </w:r>
                </w:p>
              </w:tc>
              <w:tc>
                <w:tcPr>
                  <w:tcW w:w="1701" w:type="dxa"/>
                  <w:shd w:val="clear" w:color="auto" w:fill="FFFFFF" w:themeFill="background1" w:themeFillTint="66"/>
                  <w:noWrap/>
                  <w:vAlign w:val="bottom"/>
                  <w:hideMark/>
                </w:tcPr>
                <w:p w:rsidR="00C96EAA" w:rsidRPr="00F81AA2" w:rsidRDefault="00DD7493" w:rsidP="00C96EAA">
                  <w:pPr>
                    <w:jc w:val="right"/>
                    <w:rPr>
                      <w:rFonts w:eastAsia="Times New Roman" w:cs="Arial"/>
                      <w:szCs w:val="19"/>
                      <w:lang w:val="en-US" w:eastAsia="de-DE"/>
                    </w:rPr>
                  </w:pPr>
                  <w:r w:rsidRPr="00F81AA2">
                    <w:rPr>
                      <w:rFonts w:eastAsia="Times New Roman" w:cs="Arial"/>
                      <w:color w:val="000000"/>
                      <w:lang w:val="en-US"/>
                    </w:rPr>
                    <w:t>79,623</w:t>
                  </w:r>
                </w:p>
              </w:tc>
              <w:tc>
                <w:tcPr>
                  <w:tcW w:w="1701" w:type="dxa"/>
                  <w:shd w:val="clear" w:color="auto" w:fill="FFFFFF" w:themeFill="background1" w:themeFillTint="66"/>
                  <w:vAlign w:val="bottom"/>
                </w:tcPr>
                <w:p w:rsidR="00C96EAA" w:rsidRPr="00F81AA2" w:rsidRDefault="00C96EAA" w:rsidP="00C96EAA">
                  <w:pPr>
                    <w:jc w:val="right"/>
                    <w:rPr>
                      <w:rFonts w:eastAsia="Times New Roman" w:cs="Arial"/>
                      <w:szCs w:val="19"/>
                      <w:lang w:val="en-US" w:eastAsia="de-DE"/>
                    </w:rPr>
                  </w:pPr>
                  <w:r w:rsidRPr="00F81AA2">
                    <w:rPr>
                      <w:rFonts w:eastAsia="Times New Roman" w:cs="Arial"/>
                      <w:color w:val="000000"/>
                      <w:lang w:val="en-US"/>
                    </w:rPr>
                    <w:t>185,967</w:t>
                  </w:r>
                </w:p>
              </w:tc>
            </w:tr>
            <w:tr w:rsidR="00C96EAA" w:rsidRPr="00F81AA2" w:rsidTr="0022572B">
              <w:trPr>
                <w:trHeight w:val="426"/>
              </w:trPr>
              <w:tc>
                <w:tcPr>
                  <w:tcW w:w="3686" w:type="dxa"/>
                  <w:shd w:val="clear" w:color="auto" w:fill="FFFFFF" w:themeFill="background1" w:themeFillTint="66"/>
                  <w:noWrap/>
                  <w:vAlign w:val="bottom"/>
                  <w:hideMark/>
                </w:tcPr>
                <w:p w:rsidR="00C96EAA" w:rsidRPr="00F81AA2" w:rsidRDefault="00C96EAA" w:rsidP="00C96EAA">
                  <w:pPr>
                    <w:jc w:val="left"/>
                    <w:rPr>
                      <w:rFonts w:eastAsia="Times New Roman" w:cs="Arial"/>
                      <w:color w:val="000000"/>
                      <w:szCs w:val="19"/>
                      <w:lang w:val="en-US" w:eastAsia="de-DE"/>
                    </w:rPr>
                  </w:pPr>
                  <w:r w:rsidRPr="00F81AA2">
                    <w:rPr>
                      <w:rFonts w:eastAsia="Times New Roman" w:cs="Arial"/>
                      <w:color w:val="000000"/>
                      <w:lang w:val="en-US"/>
                    </w:rPr>
                    <w:t>Southern Europe</w:t>
                  </w:r>
                </w:p>
              </w:tc>
              <w:tc>
                <w:tcPr>
                  <w:tcW w:w="1984" w:type="dxa"/>
                  <w:shd w:val="clear" w:color="auto" w:fill="FFFFFF" w:themeFill="background1" w:themeFillTint="66"/>
                  <w:noWrap/>
                  <w:vAlign w:val="bottom"/>
                </w:tcPr>
                <w:p w:rsidR="00C96EAA" w:rsidRPr="00F81AA2" w:rsidRDefault="00DD7493" w:rsidP="00C96EAA">
                  <w:pPr>
                    <w:jc w:val="right"/>
                    <w:rPr>
                      <w:rFonts w:eastAsia="Times New Roman" w:cs="Arial"/>
                      <w:szCs w:val="19"/>
                      <w:lang w:val="en-US" w:eastAsia="de-DE"/>
                    </w:rPr>
                  </w:pPr>
                  <w:r w:rsidRPr="00F81AA2">
                    <w:rPr>
                      <w:rFonts w:eastAsia="Times New Roman" w:cs="Arial"/>
                      <w:color w:val="000000"/>
                      <w:lang w:val="en-US"/>
                    </w:rPr>
                    <w:t>62,821</w:t>
                  </w:r>
                </w:p>
              </w:tc>
              <w:tc>
                <w:tcPr>
                  <w:tcW w:w="1701" w:type="dxa"/>
                  <w:shd w:val="clear" w:color="auto" w:fill="FFFFFF" w:themeFill="background1" w:themeFillTint="66"/>
                  <w:noWrap/>
                  <w:vAlign w:val="bottom"/>
                  <w:hideMark/>
                </w:tcPr>
                <w:p w:rsidR="00C96EAA" w:rsidRPr="00F81AA2" w:rsidRDefault="00DD7493" w:rsidP="00C96EAA">
                  <w:pPr>
                    <w:jc w:val="right"/>
                    <w:rPr>
                      <w:rFonts w:eastAsia="Times New Roman" w:cs="Arial"/>
                      <w:szCs w:val="19"/>
                      <w:lang w:val="en-US" w:eastAsia="de-DE"/>
                    </w:rPr>
                  </w:pPr>
                  <w:r w:rsidRPr="00F81AA2">
                    <w:rPr>
                      <w:rFonts w:eastAsia="Times New Roman" w:cs="Arial"/>
                      <w:color w:val="000000"/>
                      <w:lang w:val="en-US"/>
                    </w:rPr>
                    <w:t>54,916</w:t>
                  </w:r>
                </w:p>
              </w:tc>
              <w:tc>
                <w:tcPr>
                  <w:tcW w:w="1701" w:type="dxa"/>
                  <w:shd w:val="clear" w:color="auto" w:fill="FFFFFF" w:themeFill="background1" w:themeFillTint="66"/>
                  <w:vAlign w:val="bottom"/>
                </w:tcPr>
                <w:p w:rsidR="00C96EAA" w:rsidRPr="00F81AA2" w:rsidRDefault="00C96EAA" w:rsidP="00C96EAA">
                  <w:pPr>
                    <w:jc w:val="right"/>
                    <w:rPr>
                      <w:rFonts w:eastAsia="Times New Roman" w:cs="Arial"/>
                      <w:szCs w:val="19"/>
                      <w:lang w:val="en-US" w:eastAsia="de-DE"/>
                    </w:rPr>
                  </w:pPr>
                  <w:r w:rsidRPr="00F81AA2">
                    <w:rPr>
                      <w:rFonts w:eastAsia="Times New Roman" w:cs="Arial"/>
                      <w:color w:val="000000"/>
                      <w:lang w:val="en-US"/>
                    </w:rPr>
                    <w:t>127,219</w:t>
                  </w:r>
                </w:p>
              </w:tc>
            </w:tr>
            <w:tr w:rsidR="00C96EAA" w:rsidRPr="00F81AA2" w:rsidTr="0022572B">
              <w:trPr>
                <w:trHeight w:val="426"/>
              </w:trPr>
              <w:tc>
                <w:tcPr>
                  <w:tcW w:w="3686" w:type="dxa"/>
                  <w:shd w:val="clear" w:color="auto" w:fill="FFFFFF" w:themeFill="background1" w:themeFillTint="66"/>
                  <w:noWrap/>
                  <w:vAlign w:val="bottom"/>
                  <w:hideMark/>
                </w:tcPr>
                <w:p w:rsidR="00C96EAA" w:rsidRPr="00F81AA2" w:rsidRDefault="00DD7493" w:rsidP="00DD7493">
                  <w:pPr>
                    <w:jc w:val="left"/>
                    <w:rPr>
                      <w:rFonts w:eastAsia="Times New Roman" w:cs="Arial"/>
                      <w:color w:val="000000"/>
                      <w:szCs w:val="19"/>
                      <w:lang w:val="en-US" w:eastAsia="de-DE"/>
                    </w:rPr>
                  </w:pPr>
                  <w:r w:rsidRPr="00F81AA2">
                    <w:rPr>
                      <w:rFonts w:eastAsia="Times New Roman" w:cs="Arial"/>
                      <w:color w:val="000000"/>
                      <w:lang w:val="en-US"/>
                    </w:rPr>
                    <w:t>Northeastern Europe</w:t>
                  </w:r>
                </w:p>
              </w:tc>
              <w:tc>
                <w:tcPr>
                  <w:tcW w:w="1984" w:type="dxa"/>
                  <w:shd w:val="clear" w:color="auto" w:fill="FFFFFF" w:themeFill="background1" w:themeFillTint="66"/>
                  <w:noWrap/>
                  <w:vAlign w:val="bottom"/>
                </w:tcPr>
                <w:p w:rsidR="00C96EAA" w:rsidRPr="00F81AA2" w:rsidRDefault="00DD7493" w:rsidP="00C96EAA">
                  <w:pPr>
                    <w:jc w:val="right"/>
                    <w:rPr>
                      <w:rFonts w:eastAsia="Times New Roman" w:cs="Arial"/>
                      <w:szCs w:val="19"/>
                      <w:lang w:val="en-US" w:eastAsia="de-DE"/>
                    </w:rPr>
                  </w:pPr>
                  <w:r w:rsidRPr="00F81AA2">
                    <w:rPr>
                      <w:rFonts w:eastAsia="Times New Roman" w:cs="Arial"/>
                      <w:color w:val="000000"/>
                      <w:lang w:val="en-US"/>
                    </w:rPr>
                    <w:t>18,577</w:t>
                  </w:r>
                </w:p>
              </w:tc>
              <w:tc>
                <w:tcPr>
                  <w:tcW w:w="1701" w:type="dxa"/>
                  <w:shd w:val="clear" w:color="auto" w:fill="FFFFFF" w:themeFill="background1" w:themeFillTint="66"/>
                  <w:noWrap/>
                  <w:vAlign w:val="bottom"/>
                  <w:hideMark/>
                </w:tcPr>
                <w:p w:rsidR="00C96EAA" w:rsidRPr="00F81AA2" w:rsidRDefault="00DD7493" w:rsidP="00C96EAA">
                  <w:pPr>
                    <w:jc w:val="right"/>
                    <w:rPr>
                      <w:rFonts w:eastAsia="Times New Roman" w:cs="Arial"/>
                      <w:szCs w:val="19"/>
                      <w:lang w:val="en-US" w:eastAsia="de-DE"/>
                    </w:rPr>
                  </w:pPr>
                  <w:r w:rsidRPr="00F81AA2">
                    <w:rPr>
                      <w:rFonts w:eastAsia="Times New Roman" w:cs="Arial"/>
                      <w:color w:val="000000"/>
                      <w:lang w:val="en-US"/>
                    </w:rPr>
                    <w:t>20,229</w:t>
                  </w:r>
                </w:p>
              </w:tc>
              <w:tc>
                <w:tcPr>
                  <w:tcW w:w="1701" w:type="dxa"/>
                  <w:shd w:val="clear" w:color="auto" w:fill="FFFFFF" w:themeFill="background1" w:themeFillTint="66"/>
                  <w:vAlign w:val="bottom"/>
                </w:tcPr>
                <w:p w:rsidR="00C96EAA" w:rsidRPr="00F81AA2" w:rsidRDefault="00C96EAA" w:rsidP="00C96EAA">
                  <w:pPr>
                    <w:jc w:val="right"/>
                    <w:rPr>
                      <w:rFonts w:eastAsia="Times New Roman" w:cs="Arial"/>
                      <w:szCs w:val="19"/>
                      <w:lang w:val="en-US" w:eastAsia="de-DE"/>
                    </w:rPr>
                  </w:pPr>
                  <w:r w:rsidRPr="00F81AA2">
                    <w:rPr>
                      <w:rFonts w:eastAsia="Times New Roman" w:cs="Arial"/>
                      <w:color w:val="000000"/>
                      <w:lang w:val="en-US"/>
                    </w:rPr>
                    <w:t>19,649</w:t>
                  </w:r>
                </w:p>
              </w:tc>
            </w:tr>
            <w:tr w:rsidR="00C96EAA" w:rsidRPr="00F81AA2" w:rsidTr="0022572B">
              <w:trPr>
                <w:trHeight w:val="426"/>
              </w:trPr>
              <w:tc>
                <w:tcPr>
                  <w:tcW w:w="3686" w:type="dxa"/>
                  <w:shd w:val="clear" w:color="auto" w:fill="FFFFFF" w:themeFill="background1" w:themeFillTint="66"/>
                  <w:noWrap/>
                  <w:vAlign w:val="bottom"/>
                  <w:hideMark/>
                </w:tcPr>
                <w:p w:rsidR="00C96EAA" w:rsidRPr="00F81AA2" w:rsidRDefault="00C96EAA" w:rsidP="00C96EAA">
                  <w:pPr>
                    <w:jc w:val="left"/>
                    <w:rPr>
                      <w:rFonts w:eastAsia="Times New Roman" w:cs="Arial"/>
                      <w:color w:val="000000"/>
                      <w:szCs w:val="19"/>
                      <w:lang w:val="en-US" w:eastAsia="de-DE"/>
                    </w:rPr>
                  </w:pPr>
                  <w:r w:rsidRPr="00F81AA2">
                    <w:rPr>
                      <w:rFonts w:eastAsia="Times New Roman" w:cs="Arial"/>
                      <w:color w:val="000000"/>
                      <w:lang w:val="en-US"/>
                    </w:rPr>
                    <w:t>Americas</w:t>
                  </w:r>
                </w:p>
              </w:tc>
              <w:tc>
                <w:tcPr>
                  <w:tcW w:w="1984" w:type="dxa"/>
                  <w:shd w:val="clear" w:color="auto" w:fill="FFFFFF" w:themeFill="background1" w:themeFillTint="66"/>
                  <w:noWrap/>
                  <w:vAlign w:val="bottom"/>
                </w:tcPr>
                <w:p w:rsidR="00C96EAA" w:rsidRPr="00F81AA2" w:rsidRDefault="00721ADA" w:rsidP="00C96EAA">
                  <w:pPr>
                    <w:jc w:val="right"/>
                    <w:rPr>
                      <w:rFonts w:eastAsia="Times New Roman" w:cs="Arial"/>
                      <w:szCs w:val="19"/>
                      <w:lang w:val="en-US" w:eastAsia="de-DE"/>
                    </w:rPr>
                  </w:pPr>
                  <w:r w:rsidRPr="00F81AA2">
                    <w:rPr>
                      <w:rFonts w:eastAsia="Times New Roman" w:cs="Arial"/>
                      <w:color w:val="000000"/>
                      <w:lang w:val="en-US"/>
                    </w:rPr>
                    <w:t>64,647</w:t>
                  </w:r>
                </w:p>
              </w:tc>
              <w:tc>
                <w:tcPr>
                  <w:tcW w:w="1701" w:type="dxa"/>
                  <w:shd w:val="clear" w:color="auto" w:fill="FFFFFF" w:themeFill="background1" w:themeFillTint="66"/>
                  <w:noWrap/>
                  <w:vAlign w:val="bottom"/>
                  <w:hideMark/>
                </w:tcPr>
                <w:p w:rsidR="00C96EAA" w:rsidRPr="00F81AA2" w:rsidRDefault="00721ADA" w:rsidP="00C96EAA">
                  <w:pPr>
                    <w:jc w:val="right"/>
                    <w:rPr>
                      <w:rFonts w:eastAsia="Times New Roman" w:cs="Arial"/>
                      <w:szCs w:val="19"/>
                      <w:lang w:val="en-US" w:eastAsia="de-DE"/>
                    </w:rPr>
                  </w:pPr>
                  <w:r w:rsidRPr="00F81AA2">
                    <w:rPr>
                      <w:rFonts w:eastAsia="Times New Roman" w:cs="Arial"/>
                      <w:color w:val="000000"/>
                      <w:lang w:val="en-US"/>
                    </w:rPr>
                    <w:t>59,537</w:t>
                  </w:r>
                </w:p>
              </w:tc>
              <w:tc>
                <w:tcPr>
                  <w:tcW w:w="1701" w:type="dxa"/>
                  <w:shd w:val="clear" w:color="auto" w:fill="FFFFFF" w:themeFill="background1" w:themeFillTint="66"/>
                  <w:vAlign w:val="bottom"/>
                </w:tcPr>
                <w:p w:rsidR="00C96EAA" w:rsidRPr="00F81AA2" w:rsidRDefault="00C96EAA" w:rsidP="00C96EAA">
                  <w:pPr>
                    <w:jc w:val="right"/>
                    <w:rPr>
                      <w:rFonts w:eastAsia="Times New Roman" w:cs="Arial"/>
                      <w:szCs w:val="19"/>
                      <w:lang w:val="en-US" w:eastAsia="de-DE"/>
                    </w:rPr>
                  </w:pPr>
                  <w:r w:rsidRPr="00F81AA2">
                    <w:rPr>
                      <w:rFonts w:eastAsia="Times New Roman" w:cs="Arial"/>
                      <w:color w:val="000000"/>
                      <w:lang w:val="en-US"/>
                    </w:rPr>
                    <w:t>142,515</w:t>
                  </w:r>
                </w:p>
              </w:tc>
            </w:tr>
            <w:tr w:rsidR="00C96EAA" w:rsidRPr="00F81AA2" w:rsidTr="0022572B">
              <w:trPr>
                <w:trHeight w:val="227"/>
              </w:trPr>
              <w:tc>
                <w:tcPr>
                  <w:tcW w:w="3686" w:type="dxa"/>
                  <w:noWrap/>
                  <w:vAlign w:val="bottom"/>
                </w:tcPr>
                <w:p w:rsidR="00C96EAA" w:rsidRPr="00F81AA2" w:rsidRDefault="00C96EAA" w:rsidP="00C96EAA">
                  <w:pPr>
                    <w:jc w:val="left"/>
                    <w:rPr>
                      <w:rFonts w:eastAsia="Times New Roman" w:cs="Arial"/>
                      <w:color w:val="000000"/>
                      <w:szCs w:val="19"/>
                      <w:lang w:val="en-US" w:eastAsia="de-DE"/>
                    </w:rPr>
                  </w:pPr>
                </w:p>
              </w:tc>
              <w:tc>
                <w:tcPr>
                  <w:tcW w:w="1984" w:type="dxa"/>
                  <w:noWrap/>
                  <w:vAlign w:val="bottom"/>
                </w:tcPr>
                <w:p w:rsidR="00C96EAA" w:rsidRPr="00F81AA2" w:rsidRDefault="00C96EAA" w:rsidP="00C96EAA">
                  <w:pPr>
                    <w:jc w:val="right"/>
                    <w:rPr>
                      <w:rFonts w:eastAsia="Times New Roman" w:cs="Arial"/>
                      <w:szCs w:val="19"/>
                      <w:lang w:val="en-US" w:eastAsia="de-DE"/>
                    </w:rPr>
                  </w:pPr>
                </w:p>
              </w:tc>
              <w:tc>
                <w:tcPr>
                  <w:tcW w:w="1701" w:type="dxa"/>
                  <w:noWrap/>
                  <w:vAlign w:val="bottom"/>
                </w:tcPr>
                <w:p w:rsidR="00C96EAA" w:rsidRPr="00F81AA2" w:rsidRDefault="00C96EAA" w:rsidP="00C96EAA">
                  <w:pPr>
                    <w:jc w:val="right"/>
                    <w:rPr>
                      <w:rFonts w:eastAsia="Times New Roman" w:cs="Arial"/>
                      <w:szCs w:val="19"/>
                      <w:lang w:val="en-US" w:eastAsia="de-DE"/>
                    </w:rPr>
                  </w:pPr>
                </w:p>
              </w:tc>
              <w:tc>
                <w:tcPr>
                  <w:tcW w:w="1701" w:type="dxa"/>
                  <w:vAlign w:val="bottom"/>
                </w:tcPr>
                <w:p w:rsidR="00C96EAA" w:rsidRPr="00F81AA2" w:rsidRDefault="00C96EAA" w:rsidP="00C96EAA">
                  <w:pPr>
                    <w:jc w:val="right"/>
                    <w:rPr>
                      <w:rFonts w:eastAsia="Times New Roman" w:cs="Arial"/>
                      <w:szCs w:val="19"/>
                      <w:lang w:val="en-US" w:eastAsia="de-DE"/>
                    </w:rPr>
                  </w:pPr>
                </w:p>
              </w:tc>
            </w:tr>
            <w:tr w:rsidR="00C96EAA" w:rsidRPr="00F81AA2" w:rsidTr="0022572B">
              <w:trPr>
                <w:trHeight w:val="426"/>
              </w:trPr>
              <w:tc>
                <w:tcPr>
                  <w:tcW w:w="3686" w:type="dxa"/>
                  <w:noWrap/>
                  <w:vAlign w:val="bottom"/>
                  <w:hideMark/>
                </w:tcPr>
                <w:p w:rsidR="00C96EAA" w:rsidRPr="00F81AA2" w:rsidRDefault="00C96EAA" w:rsidP="00C96EAA">
                  <w:pPr>
                    <w:jc w:val="left"/>
                    <w:rPr>
                      <w:rFonts w:eastAsia="Times New Roman" w:cs="Arial"/>
                      <w:color w:val="000000" w:themeColor="text2"/>
                      <w:szCs w:val="19"/>
                      <w:lang w:val="en-US" w:eastAsia="de-DE"/>
                    </w:rPr>
                  </w:pPr>
                  <w:r w:rsidRPr="00F81AA2">
                    <w:rPr>
                      <w:rFonts w:eastAsia="Times New Roman" w:cs="Arial"/>
                      <w:color w:val="000000"/>
                      <w:lang w:val="en-US"/>
                    </w:rPr>
                    <w:t>of which: Germany</w:t>
                  </w:r>
                </w:p>
              </w:tc>
              <w:tc>
                <w:tcPr>
                  <w:tcW w:w="1984" w:type="dxa"/>
                  <w:noWrap/>
                  <w:vAlign w:val="bottom"/>
                </w:tcPr>
                <w:p w:rsidR="00C96EAA" w:rsidRPr="00F81AA2" w:rsidRDefault="00721ADA" w:rsidP="00C96EAA">
                  <w:pPr>
                    <w:jc w:val="right"/>
                    <w:rPr>
                      <w:rFonts w:eastAsia="Times New Roman" w:cs="Arial"/>
                      <w:szCs w:val="19"/>
                      <w:lang w:val="en-US" w:eastAsia="de-DE"/>
                    </w:rPr>
                  </w:pPr>
                  <w:r w:rsidRPr="00F81AA2">
                    <w:rPr>
                      <w:rFonts w:eastAsia="Times New Roman" w:cs="Arial"/>
                      <w:color w:val="000000"/>
                      <w:lang w:val="en-US"/>
                    </w:rPr>
                    <w:t>247,530</w:t>
                  </w:r>
                </w:p>
              </w:tc>
              <w:tc>
                <w:tcPr>
                  <w:tcW w:w="1701" w:type="dxa"/>
                  <w:noWrap/>
                  <w:vAlign w:val="bottom"/>
                  <w:hideMark/>
                </w:tcPr>
                <w:p w:rsidR="00C96EAA" w:rsidRPr="00F81AA2" w:rsidRDefault="00721ADA" w:rsidP="00C96EAA">
                  <w:pPr>
                    <w:jc w:val="right"/>
                    <w:rPr>
                      <w:rFonts w:eastAsia="Times New Roman" w:cs="Arial"/>
                      <w:szCs w:val="19"/>
                      <w:lang w:val="en-US" w:eastAsia="de-DE"/>
                    </w:rPr>
                  </w:pPr>
                  <w:r w:rsidRPr="00F81AA2">
                    <w:rPr>
                      <w:rFonts w:eastAsia="Times New Roman" w:cs="Arial"/>
                      <w:color w:val="000000"/>
                      <w:lang w:val="en-US"/>
                    </w:rPr>
                    <w:t>226,964</w:t>
                  </w:r>
                </w:p>
              </w:tc>
              <w:tc>
                <w:tcPr>
                  <w:tcW w:w="1701" w:type="dxa"/>
                  <w:vAlign w:val="bottom"/>
                </w:tcPr>
                <w:p w:rsidR="00C96EAA" w:rsidRPr="00F81AA2" w:rsidRDefault="00C96EAA" w:rsidP="00C96EAA">
                  <w:pPr>
                    <w:jc w:val="right"/>
                    <w:rPr>
                      <w:rFonts w:eastAsia="Times New Roman" w:cs="Arial"/>
                      <w:szCs w:val="19"/>
                      <w:lang w:val="en-US" w:eastAsia="de-DE"/>
                    </w:rPr>
                  </w:pPr>
                  <w:r w:rsidRPr="00F81AA2">
                    <w:rPr>
                      <w:rFonts w:eastAsia="Times New Roman" w:cs="Arial"/>
                      <w:color w:val="000000"/>
                      <w:lang w:val="en-US"/>
                    </w:rPr>
                    <w:t>499,770</w:t>
                  </w:r>
                </w:p>
              </w:tc>
            </w:tr>
            <w:tr w:rsidR="00C96EAA" w:rsidRPr="00F81AA2" w:rsidTr="0022572B">
              <w:trPr>
                <w:trHeight w:val="426"/>
              </w:trPr>
              <w:tc>
                <w:tcPr>
                  <w:tcW w:w="3686" w:type="dxa"/>
                  <w:noWrap/>
                  <w:vAlign w:val="bottom"/>
                  <w:hideMark/>
                </w:tcPr>
                <w:p w:rsidR="00C96EAA" w:rsidRPr="00F81AA2" w:rsidRDefault="00C96EAA" w:rsidP="00C96EAA">
                  <w:pPr>
                    <w:jc w:val="left"/>
                    <w:rPr>
                      <w:rFonts w:eastAsia="Times New Roman" w:cs="Arial"/>
                      <w:color w:val="000000" w:themeColor="text2"/>
                      <w:szCs w:val="19"/>
                      <w:lang w:val="en-US" w:eastAsia="de-DE"/>
                    </w:rPr>
                  </w:pPr>
                  <w:r w:rsidRPr="00F81AA2">
                    <w:rPr>
                      <w:rFonts w:eastAsia="Times New Roman" w:cs="Arial"/>
                      <w:color w:val="000000"/>
                      <w:lang w:val="en-US"/>
                    </w:rPr>
                    <w:t>of which: international</w:t>
                  </w:r>
                </w:p>
              </w:tc>
              <w:tc>
                <w:tcPr>
                  <w:tcW w:w="1984" w:type="dxa"/>
                  <w:noWrap/>
                  <w:vAlign w:val="bottom"/>
                </w:tcPr>
                <w:p w:rsidR="00C96EAA" w:rsidRPr="00F81AA2" w:rsidRDefault="00721ADA" w:rsidP="00C96EAA">
                  <w:pPr>
                    <w:jc w:val="right"/>
                    <w:rPr>
                      <w:rFonts w:eastAsia="Times New Roman" w:cs="Arial"/>
                      <w:szCs w:val="19"/>
                      <w:lang w:val="en-US" w:eastAsia="de-DE"/>
                    </w:rPr>
                  </w:pPr>
                  <w:r w:rsidRPr="00F81AA2">
                    <w:rPr>
                      <w:rFonts w:eastAsia="Times New Roman" w:cs="Arial"/>
                      <w:color w:val="000000"/>
                      <w:lang w:val="en-US"/>
                    </w:rPr>
                    <w:t>261,423</w:t>
                  </w:r>
                </w:p>
              </w:tc>
              <w:tc>
                <w:tcPr>
                  <w:tcW w:w="1701" w:type="dxa"/>
                  <w:noWrap/>
                  <w:vAlign w:val="bottom"/>
                  <w:hideMark/>
                </w:tcPr>
                <w:p w:rsidR="00C96EAA" w:rsidRPr="00F81AA2" w:rsidRDefault="00721ADA" w:rsidP="00C96EAA">
                  <w:pPr>
                    <w:jc w:val="right"/>
                    <w:rPr>
                      <w:rFonts w:eastAsia="Times New Roman" w:cs="Arial"/>
                      <w:szCs w:val="19"/>
                      <w:lang w:val="en-US" w:eastAsia="de-DE"/>
                    </w:rPr>
                  </w:pPr>
                  <w:r w:rsidRPr="00F81AA2">
                    <w:rPr>
                      <w:rFonts w:eastAsia="Times New Roman" w:cs="Arial"/>
                      <w:color w:val="000000"/>
                      <w:lang w:val="en-US"/>
                    </w:rPr>
                    <w:t>241,282</w:t>
                  </w:r>
                </w:p>
              </w:tc>
              <w:tc>
                <w:tcPr>
                  <w:tcW w:w="1701" w:type="dxa"/>
                  <w:vAlign w:val="bottom"/>
                </w:tcPr>
                <w:p w:rsidR="00C96EAA" w:rsidRPr="00F81AA2" w:rsidRDefault="00C96EAA" w:rsidP="00C96EAA">
                  <w:pPr>
                    <w:jc w:val="right"/>
                    <w:rPr>
                      <w:rFonts w:eastAsia="Times New Roman" w:cs="Arial"/>
                      <w:szCs w:val="19"/>
                      <w:lang w:val="en-US" w:eastAsia="de-DE"/>
                    </w:rPr>
                  </w:pPr>
                  <w:r w:rsidRPr="00F81AA2">
                    <w:rPr>
                      <w:rFonts w:eastAsia="Times New Roman" w:cs="Arial"/>
                      <w:color w:val="000000"/>
                      <w:lang w:val="en-US"/>
                    </w:rPr>
                    <w:t>556,741</w:t>
                  </w:r>
                </w:p>
              </w:tc>
            </w:tr>
            <w:tr w:rsidR="00C96EAA" w:rsidRPr="00F81AA2" w:rsidTr="0022572B">
              <w:trPr>
                <w:trHeight w:val="227"/>
              </w:trPr>
              <w:tc>
                <w:tcPr>
                  <w:tcW w:w="3686" w:type="dxa"/>
                  <w:shd w:val="clear" w:color="auto" w:fill="auto"/>
                  <w:noWrap/>
                  <w:vAlign w:val="bottom"/>
                </w:tcPr>
                <w:p w:rsidR="00C96EAA" w:rsidRPr="00F81AA2" w:rsidRDefault="00C96EAA" w:rsidP="00C96EAA">
                  <w:pPr>
                    <w:jc w:val="left"/>
                    <w:rPr>
                      <w:rFonts w:eastAsia="Times New Roman" w:cs="Arial"/>
                      <w:color w:val="000000"/>
                      <w:szCs w:val="19"/>
                      <w:lang w:val="en-US" w:eastAsia="de-DE"/>
                    </w:rPr>
                  </w:pPr>
                </w:p>
              </w:tc>
              <w:tc>
                <w:tcPr>
                  <w:tcW w:w="1984" w:type="dxa"/>
                  <w:shd w:val="clear" w:color="auto" w:fill="auto"/>
                  <w:noWrap/>
                  <w:vAlign w:val="bottom"/>
                </w:tcPr>
                <w:p w:rsidR="00C96EAA" w:rsidRPr="00F81AA2" w:rsidRDefault="00C96EAA" w:rsidP="00C96EAA">
                  <w:pPr>
                    <w:jc w:val="right"/>
                    <w:rPr>
                      <w:rFonts w:eastAsia="Times New Roman" w:cs="Arial"/>
                      <w:szCs w:val="19"/>
                      <w:lang w:val="en-US" w:eastAsia="de-DE"/>
                    </w:rPr>
                  </w:pPr>
                </w:p>
              </w:tc>
              <w:tc>
                <w:tcPr>
                  <w:tcW w:w="1701" w:type="dxa"/>
                  <w:shd w:val="clear" w:color="auto" w:fill="auto"/>
                  <w:noWrap/>
                  <w:vAlign w:val="bottom"/>
                </w:tcPr>
                <w:p w:rsidR="00C96EAA" w:rsidRPr="00F81AA2" w:rsidRDefault="00C96EAA" w:rsidP="00C96EAA">
                  <w:pPr>
                    <w:jc w:val="right"/>
                    <w:rPr>
                      <w:rFonts w:eastAsia="Times New Roman" w:cs="Arial"/>
                      <w:szCs w:val="19"/>
                      <w:lang w:val="en-US" w:eastAsia="de-DE"/>
                    </w:rPr>
                  </w:pPr>
                </w:p>
              </w:tc>
              <w:tc>
                <w:tcPr>
                  <w:tcW w:w="1701" w:type="dxa"/>
                  <w:shd w:val="clear" w:color="auto" w:fill="auto"/>
                  <w:vAlign w:val="bottom"/>
                </w:tcPr>
                <w:p w:rsidR="00C96EAA" w:rsidRPr="00F81AA2" w:rsidRDefault="00C96EAA" w:rsidP="00C96EAA">
                  <w:pPr>
                    <w:jc w:val="right"/>
                    <w:rPr>
                      <w:rFonts w:eastAsia="Times New Roman" w:cs="Arial"/>
                      <w:szCs w:val="19"/>
                      <w:lang w:val="en-US" w:eastAsia="de-DE"/>
                    </w:rPr>
                  </w:pPr>
                </w:p>
              </w:tc>
            </w:tr>
            <w:tr w:rsidR="00C96EAA" w:rsidRPr="00F81AA2" w:rsidTr="00721ADA">
              <w:trPr>
                <w:trHeight w:val="426"/>
              </w:trPr>
              <w:tc>
                <w:tcPr>
                  <w:tcW w:w="3686" w:type="dxa"/>
                  <w:shd w:val="clear" w:color="auto" w:fill="EEECE5"/>
                  <w:noWrap/>
                  <w:vAlign w:val="bottom"/>
                  <w:hideMark/>
                </w:tcPr>
                <w:p w:rsidR="00C96EAA" w:rsidRPr="00F81AA2" w:rsidRDefault="00C96EAA" w:rsidP="00C96EAA">
                  <w:pPr>
                    <w:jc w:val="left"/>
                    <w:rPr>
                      <w:rFonts w:eastAsia="Times New Roman" w:cs="Arial"/>
                      <w:color w:val="000000"/>
                      <w:szCs w:val="19"/>
                      <w:lang w:val="en-US" w:eastAsia="de-DE"/>
                    </w:rPr>
                  </w:pPr>
                  <w:r w:rsidRPr="00F81AA2">
                    <w:rPr>
                      <w:rFonts w:eastAsia="Times New Roman" w:cs="Arial"/>
                      <w:color w:val="000000"/>
                      <w:lang w:val="en-US"/>
                    </w:rPr>
                    <w:t>New customer lease originations (%)</w:t>
                  </w:r>
                </w:p>
              </w:tc>
              <w:tc>
                <w:tcPr>
                  <w:tcW w:w="1984" w:type="dxa"/>
                  <w:shd w:val="clear" w:color="auto" w:fill="EEECE5"/>
                  <w:noWrap/>
                  <w:vAlign w:val="bottom"/>
                </w:tcPr>
                <w:p w:rsidR="00C96EAA" w:rsidRPr="00F81AA2" w:rsidRDefault="00721ADA" w:rsidP="00C96EAA">
                  <w:pPr>
                    <w:jc w:val="right"/>
                    <w:rPr>
                      <w:rFonts w:eastAsia="Times New Roman" w:cs="Arial"/>
                      <w:color w:val="000000" w:themeColor="text2"/>
                      <w:szCs w:val="19"/>
                      <w:lang w:val="en-US" w:eastAsia="de-DE"/>
                    </w:rPr>
                  </w:pPr>
                  <w:r w:rsidRPr="00F81AA2">
                    <w:rPr>
                      <w:rFonts w:eastAsia="Times New Roman" w:cs="Arial"/>
                      <w:color w:val="000000"/>
                      <w:lang w:val="en-US"/>
                    </w:rPr>
                    <w:t>8.6%</w:t>
                  </w:r>
                </w:p>
              </w:tc>
              <w:tc>
                <w:tcPr>
                  <w:tcW w:w="1701" w:type="dxa"/>
                  <w:shd w:val="clear" w:color="auto" w:fill="EEECE5"/>
                  <w:noWrap/>
                  <w:vAlign w:val="bottom"/>
                </w:tcPr>
                <w:p w:rsidR="00C96EAA" w:rsidRPr="00F81AA2" w:rsidRDefault="00F5333E" w:rsidP="00C96EAA">
                  <w:pPr>
                    <w:jc w:val="right"/>
                    <w:rPr>
                      <w:rFonts w:eastAsia="Times New Roman" w:cs="Arial"/>
                      <w:color w:val="000000" w:themeColor="text2"/>
                      <w:szCs w:val="19"/>
                      <w:lang w:val="en-US" w:eastAsia="de-DE"/>
                    </w:rPr>
                  </w:pPr>
                  <w:r w:rsidRPr="00F81AA2">
                    <w:rPr>
                      <w:rFonts w:eastAsia="Times New Roman" w:cs="Arial"/>
                      <w:color w:val="000000"/>
                      <w:lang w:val="en-US"/>
                    </w:rPr>
                    <w:t>26.0%</w:t>
                  </w:r>
                </w:p>
              </w:tc>
              <w:tc>
                <w:tcPr>
                  <w:tcW w:w="1701" w:type="dxa"/>
                  <w:shd w:val="clear" w:color="auto" w:fill="EEECE5"/>
                  <w:vAlign w:val="bottom"/>
                </w:tcPr>
                <w:p w:rsidR="00C96EAA" w:rsidRPr="00F81AA2" w:rsidRDefault="00C96EAA" w:rsidP="00C96EAA">
                  <w:pPr>
                    <w:jc w:val="right"/>
                    <w:rPr>
                      <w:rFonts w:eastAsia="Times New Roman" w:cs="Arial"/>
                      <w:szCs w:val="19"/>
                      <w:lang w:val="en-US" w:eastAsia="de-DE"/>
                    </w:rPr>
                  </w:pPr>
                </w:p>
              </w:tc>
            </w:tr>
            <w:tr w:rsidR="00C96EAA" w:rsidRPr="00F81AA2" w:rsidTr="0022572B">
              <w:trPr>
                <w:trHeight w:val="227"/>
              </w:trPr>
              <w:tc>
                <w:tcPr>
                  <w:tcW w:w="3686" w:type="dxa"/>
                  <w:noWrap/>
                  <w:vAlign w:val="bottom"/>
                </w:tcPr>
                <w:p w:rsidR="00C96EAA" w:rsidRPr="00F81AA2" w:rsidRDefault="00C96EAA" w:rsidP="00C96EAA">
                  <w:pPr>
                    <w:jc w:val="left"/>
                    <w:rPr>
                      <w:rFonts w:eastAsia="Times New Roman" w:cs="Arial"/>
                      <w:color w:val="000000"/>
                      <w:szCs w:val="19"/>
                      <w:lang w:val="en-US" w:eastAsia="de-DE"/>
                    </w:rPr>
                  </w:pPr>
                </w:p>
              </w:tc>
              <w:tc>
                <w:tcPr>
                  <w:tcW w:w="1984" w:type="dxa"/>
                  <w:noWrap/>
                  <w:vAlign w:val="bottom"/>
                </w:tcPr>
                <w:p w:rsidR="00C96EAA" w:rsidRPr="00F81AA2" w:rsidRDefault="00C96EAA" w:rsidP="00C96EAA">
                  <w:pPr>
                    <w:jc w:val="right"/>
                    <w:rPr>
                      <w:rFonts w:eastAsia="Times New Roman" w:cs="Arial"/>
                      <w:szCs w:val="19"/>
                      <w:lang w:val="en-US" w:eastAsia="de-DE"/>
                    </w:rPr>
                  </w:pPr>
                </w:p>
              </w:tc>
              <w:tc>
                <w:tcPr>
                  <w:tcW w:w="1701" w:type="dxa"/>
                  <w:noWrap/>
                  <w:vAlign w:val="bottom"/>
                </w:tcPr>
                <w:p w:rsidR="00C96EAA" w:rsidRPr="00F81AA2" w:rsidRDefault="00C96EAA" w:rsidP="00C96EAA">
                  <w:pPr>
                    <w:jc w:val="right"/>
                    <w:rPr>
                      <w:rFonts w:eastAsia="Times New Roman" w:cs="Arial"/>
                      <w:szCs w:val="19"/>
                      <w:lang w:val="en-US" w:eastAsia="de-DE"/>
                    </w:rPr>
                  </w:pPr>
                </w:p>
              </w:tc>
              <w:tc>
                <w:tcPr>
                  <w:tcW w:w="1701" w:type="dxa"/>
                  <w:vAlign w:val="bottom"/>
                </w:tcPr>
                <w:p w:rsidR="00C96EAA" w:rsidRPr="00F81AA2" w:rsidRDefault="00C96EAA" w:rsidP="00C96EAA">
                  <w:pPr>
                    <w:jc w:val="right"/>
                    <w:rPr>
                      <w:rFonts w:eastAsia="Times New Roman" w:cs="Arial"/>
                      <w:color w:val="FF0000"/>
                      <w:szCs w:val="19"/>
                      <w:lang w:val="en-US" w:eastAsia="de-DE"/>
                    </w:rPr>
                  </w:pPr>
                </w:p>
              </w:tc>
            </w:tr>
            <w:tr w:rsidR="00C96EAA" w:rsidRPr="00F81AA2" w:rsidTr="0022572B">
              <w:trPr>
                <w:trHeight w:val="426"/>
              </w:trPr>
              <w:tc>
                <w:tcPr>
                  <w:tcW w:w="3686" w:type="dxa"/>
                  <w:noWrap/>
                  <w:vAlign w:val="bottom"/>
                  <w:hideMark/>
                </w:tcPr>
                <w:p w:rsidR="00C96EAA" w:rsidRPr="00F81AA2" w:rsidRDefault="00C96EAA" w:rsidP="00C96EAA">
                  <w:pPr>
                    <w:jc w:val="left"/>
                    <w:rPr>
                      <w:rFonts w:eastAsia="Times New Roman" w:cs="Arial"/>
                      <w:color w:val="000000"/>
                      <w:szCs w:val="19"/>
                      <w:lang w:val="en-US" w:eastAsia="de-DE"/>
                    </w:rPr>
                  </w:pPr>
                  <w:r w:rsidRPr="00F81AA2">
                    <w:rPr>
                      <w:rFonts w:eastAsia="Times New Roman" w:cs="Arial"/>
                      <w:color w:val="000000"/>
                      <w:lang w:val="en-US"/>
                    </w:rPr>
                    <w:t>Group gross profit*</w:t>
                  </w:r>
                </w:p>
              </w:tc>
              <w:tc>
                <w:tcPr>
                  <w:tcW w:w="1984" w:type="dxa"/>
                  <w:noWrap/>
                  <w:vAlign w:val="bottom"/>
                </w:tcPr>
                <w:p w:rsidR="00C96EAA" w:rsidRPr="00F81AA2" w:rsidRDefault="00721ADA" w:rsidP="00C96EAA">
                  <w:pPr>
                    <w:jc w:val="right"/>
                    <w:rPr>
                      <w:rFonts w:eastAsia="Times New Roman" w:cs="Arial"/>
                      <w:szCs w:val="19"/>
                      <w:lang w:val="en-US" w:eastAsia="de-DE"/>
                    </w:rPr>
                  </w:pPr>
                  <w:r w:rsidRPr="00F81AA2">
                    <w:rPr>
                      <w:rFonts w:eastAsia="Times New Roman" w:cs="Arial"/>
                      <w:color w:val="000000"/>
                      <w:lang w:val="en-US"/>
                    </w:rPr>
                    <w:t>77,105</w:t>
                  </w:r>
                </w:p>
              </w:tc>
              <w:tc>
                <w:tcPr>
                  <w:tcW w:w="1701" w:type="dxa"/>
                  <w:noWrap/>
                  <w:vAlign w:val="bottom"/>
                  <w:hideMark/>
                </w:tcPr>
                <w:p w:rsidR="00C96EAA" w:rsidRPr="00F81AA2" w:rsidRDefault="00721ADA" w:rsidP="00C96EAA">
                  <w:pPr>
                    <w:jc w:val="right"/>
                    <w:rPr>
                      <w:rFonts w:eastAsia="Times New Roman" w:cs="Arial"/>
                      <w:szCs w:val="19"/>
                      <w:lang w:val="en-US" w:eastAsia="de-DE"/>
                    </w:rPr>
                  </w:pPr>
                  <w:r w:rsidRPr="00F81AA2">
                    <w:rPr>
                      <w:rFonts w:eastAsia="Times New Roman" w:cs="Arial"/>
                      <w:color w:val="000000"/>
                      <w:lang w:val="en-US"/>
                    </w:rPr>
                    <w:t>77,942</w:t>
                  </w:r>
                </w:p>
              </w:tc>
              <w:tc>
                <w:tcPr>
                  <w:tcW w:w="1701" w:type="dxa"/>
                  <w:vAlign w:val="bottom"/>
                </w:tcPr>
                <w:p w:rsidR="00C96EAA" w:rsidRPr="004010CE" w:rsidRDefault="00C96EAA" w:rsidP="00C96EAA">
                  <w:pPr>
                    <w:jc w:val="right"/>
                    <w:rPr>
                      <w:rFonts w:eastAsia="Times New Roman" w:cs="Arial"/>
                      <w:szCs w:val="19"/>
                      <w:lang w:val="en-US" w:eastAsia="de-DE"/>
                    </w:rPr>
                  </w:pPr>
                  <w:r w:rsidRPr="004010CE">
                    <w:rPr>
                      <w:rFonts w:eastAsia="Times New Roman" w:cs="Arial"/>
                      <w:lang w:val="en-US"/>
                    </w:rPr>
                    <w:t>183,059</w:t>
                  </w:r>
                </w:p>
              </w:tc>
            </w:tr>
          </w:tbl>
          <w:p w:rsidR="006779EB" w:rsidRPr="00F81AA2" w:rsidRDefault="006779EB" w:rsidP="006779EB">
            <w:pPr>
              <w:spacing w:line="360" w:lineRule="auto"/>
              <w:jc w:val="left"/>
              <w:rPr>
                <w:b/>
                <w:caps/>
                <w:sz w:val="22"/>
                <w:lang w:val="en-US"/>
              </w:rPr>
            </w:pPr>
          </w:p>
        </w:tc>
      </w:tr>
    </w:tbl>
    <w:p w:rsidR="00E74574" w:rsidRPr="00F81AA2" w:rsidRDefault="00E74574">
      <w:pPr>
        <w:rPr>
          <w:lang w:val="en-US"/>
        </w:rPr>
      </w:pPr>
      <w:bookmarkStart w:id="0" w:name="_GoBack"/>
      <w:bookmarkEnd w:id="0"/>
    </w:p>
    <w:sectPr w:rsidR="00E74574" w:rsidRPr="00F81AA2" w:rsidSect="00566BCE">
      <w:headerReference w:type="default" r:id="rId10"/>
      <w:footerReference w:type="default" r:id="rId11"/>
      <w:headerReference w:type="first" r:id="rId12"/>
      <w:footerReference w:type="first" r:id="rId13"/>
      <w:pgSz w:w="11907" w:h="16840" w:code="9"/>
      <w:pgMar w:top="1701" w:right="397" w:bottom="1531" w:left="1304" w:header="680" w:footer="964" w:gutter="0"/>
      <w:paperSrc w:first="279" w:other="279"/>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37" w:rsidRDefault="00C93737" w:rsidP="003E4F4F">
      <w:r>
        <w:separator/>
      </w:r>
    </w:p>
  </w:endnote>
  <w:endnote w:type="continuationSeparator" w:id="0">
    <w:p w:rsidR="00C93737" w:rsidRDefault="00C93737"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1C" w:rsidRDefault="0001191C">
    <w:pPr>
      <w:pStyle w:val="Fuzeile"/>
    </w:pPr>
    <w:r>
      <w:rPr>
        <w:rFonts w:cs="Arial"/>
        <w:noProof/>
        <w:lang w:val="de-DE" w:eastAsia="de-DE"/>
      </w:rPr>
      <w:drawing>
        <wp:anchor distT="0" distB="0" distL="114300" distR="114300" simplePos="0" relativeHeight="251660288" behindDoc="0" locked="0" layoutInCell="1" allowOverlap="1" wp14:anchorId="256CB3B5" wp14:editId="5636EF6F">
          <wp:simplePos x="0" y="0"/>
          <wp:positionH relativeFrom="column">
            <wp:posOffset>-819150</wp:posOffset>
          </wp:positionH>
          <wp:positionV relativeFrom="paragraph">
            <wp:posOffset>-86360</wp:posOffset>
          </wp:positionV>
          <wp:extent cx="6480810" cy="814705"/>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egen_A4_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1C" w:rsidRDefault="0001191C">
    <w:pPr>
      <w:pStyle w:val="Fuzeile"/>
    </w:pPr>
    <w:r>
      <w:rPr>
        <w:rFonts w:cs="Arial"/>
        <w:noProof/>
        <w:lang w:val="de-DE" w:eastAsia="de-DE"/>
      </w:rPr>
      <w:drawing>
        <wp:anchor distT="0" distB="0" distL="114300" distR="114300" simplePos="0" relativeHeight="251658240" behindDoc="0" locked="0" layoutInCell="1" allowOverlap="1">
          <wp:simplePos x="0" y="0"/>
          <wp:positionH relativeFrom="column">
            <wp:posOffset>-808990</wp:posOffset>
          </wp:positionH>
          <wp:positionV relativeFrom="paragraph">
            <wp:posOffset>-84455</wp:posOffset>
          </wp:positionV>
          <wp:extent cx="6480810" cy="8147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egen_A4_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37" w:rsidRDefault="00C93737" w:rsidP="003E4F4F">
      <w:r>
        <w:separator/>
      </w:r>
    </w:p>
  </w:footnote>
  <w:footnote w:type="continuationSeparator" w:id="0">
    <w:p w:rsidR="00C93737" w:rsidRDefault="00C93737" w:rsidP="003E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01191C" w:rsidRPr="004B239B" w:rsidTr="0022572B">
      <w:trPr>
        <w:trHeight w:val="794"/>
      </w:trPr>
      <w:tc>
        <w:tcPr>
          <w:tcW w:w="8079" w:type="dxa"/>
          <w:tcMar>
            <w:top w:w="0" w:type="dxa"/>
            <w:left w:w="0" w:type="dxa"/>
            <w:bottom w:w="0" w:type="dxa"/>
            <w:right w:w="0" w:type="dxa"/>
          </w:tcMar>
        </w:tcPr>
        <w:p w:rsidR="0001191C" w:rsidRPr="004C79EB" w:rsidRDefault="0001191C" w:rsidP="00566BCE">
          <w:pPr>
            <w:spacing w:line="180" w:lineRule="exact"/>
            <w:rPr>
              <w:rFonts w:cs="Arial"/>
              <w:noProof/>
              <w:sz w:val="14"/>
              <w:szCs w:val="14"/>
            </w:rPr>
          </w:pPr>
          <w:r>
            <w:rPr>
              <w:rFonts w:cs="Arial"/>
              <w:color w:val="000000"/>
              <w:sz w:val="14"/>
            </w:rPr>
            <w:t xml:space="preserve">Page </w:t>
          </w:r>
          <w:r w:rsidRPr="004C79EB">
            <w:rPr>
              <w:rFonts w:cs="Arial"/>
            </w:rPr>
            <w:fldChar w:fldCharType="begin"/>
          </w:r>
          <w:r w:rsidRPr="004C79EB">
            <w:rPr>
              <w:rFonts w:cs="Arial"/>
              <w:sz w:val="14"/>
              <w:szCs w:val="14"/>
            </w:rPr>
            <w:instrText xml:space="preserve"> PAGE </w:instrText>
          </w:r>
          <w:r w:rsidRPr="004C79EB">
            <w:rPr>
              <w:rFonts w:cs="Arial"/>
            </w:rPr>
            <w:fldChar w:fldCharType="separate"/>
          </w:r>
          <w:r w:rsidR="001E52E3">
            <w:rPr>
              <w:rFonts w:cs="Arial"/>
              <w:noProof/>
              <w:sz w:val="14"/>
              <w:szCs w:val="14"/>
            </w:rPr>
            <w:t>2</w:t>
          </w:r>
          <w:r w:rsidRPr="004C79EB">
            <w:rPr>
              <w:rFonts w:cs="Arial"/>
            </w:rPr>
            <w:fldChar w:fldCharType="end"/>
          </w:r>
          <w:r>
            <w:rPr>
              <w:rFonts w:cs="Arial"/>
              <w:color w:val="000000"/>
              <w:sz w:val="14"/>
            </w:rPr>
            <w:t xml:space="preserve"> of </w:t>
          </w:r>
          <w:r w:rsidRPr="004C79EB">
            <w:rPr>
              <w:rFonts w:cs="Arial"/>
            </w:rPr>
            <w:fldChar w:fldCharType="begin"/>
          </w:r>
          <w:r w:rsidRPr="004C79EB">
            <w:rPr>
              <w:rFonts w:cs="Arial"/>
              <w:sz w:val="14"/>
              <w:szCs w:val="14"/>
            </w:rPr>
            <w:instrText xml:space="preserve"> NUMPAGES </w:instrText>
          </w:r>
          <w:r w:rsidRPr="004C79EB">
            <w:rPr>
              <w:rFonts w:cs="Arial"/>
            </w:rPr>
            <w:fldChar w:fldCharType="separate"/>
          </w:r>
          <w:r w:rsidR="001E52E3">
            <w:rPr>
              <w:rFonts w:cs="Arial"/>
              <w:noProof/>
              <w:sz w:val="14"/>
              <w:szCs w:val="14"/>
            </w:rPr>
            <w:t>3</w:t>
          </w:r>
          <w:r w:rsidRPr="004C79EB">
            <w:rPr>
              <w:rFonts w:cs="Arial"/>
            </w:rPr>
            <w:fldChar w:fldCharType="end"/>
          </w:r>
        </w:p>
        <w:p w:rsidR="0001191C" w:rsidRPr="004B239B" w:rsidRDefault="0001191C" w:rsidP="00566BCE">
          <w:pPr>
            <w:pStyle w:val="berschrift2"/>
            <w:keepLines w:val="0"/>
            <w:spacing w:after="0"/>
            <w:outlineLvl w:val="1"/>
          </w:pPr>
        </w:p>
      </w:tc>
      <w:tc>
        <w:tcPr>
          <w:tcW w:w="2126" w:type="dxa"/>
          <w:tcMar>
            <w:top w:w="0" w:type="dxa"/>
            <w:left w:w="0" w:type="dxa"/>
            <w:bottom w:w="0" w:type="dxa"/>
            <w:right w:w="0" w:type="dxa"/>
          </w:tcMar>
        </w:tcPr>
        <w:p w:rsidR="0001191C" w:rsidRPr="004B239B" w:rsidRDefault="0001191C" w:rsidP="00566BCE">
          <w:pPr>
            <w:jc w:val="left"/>
          </w:pPr>
          <w:r>
            <w:rPr>
              <w:rFonts w:cs="Arial"/>
              <w:noProof/>
              <w:color w:val="000000"/>
              <w:lang w:val="de-DE" w:eastAsia="de-DE"/>
            </w:rPr>
            <w:drawing>
              <wp:inline distT="0" distB="0" distL="0" distR="0" wp14:anchorId="1C8233C7" wp14:editId="4A091FCD">
                <wp:extent cx="943200" cy="324000"/>
                <wp:effectExtent l="0" t="0" r="0" b="0"/>
                <wp:docPr id="2"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01191C" w:rsidRDefault="000119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01191C" w:rsidRPr="004B239B" w:rsidTr="004B239B">
      <w:trPr>
        <w:trHeight w:val="794"/>
      </w:trPr>
      <w:tc>
        <w:tcPr>
          <w:tcW w:w="8079" w:type="dxa"/>
          <w:tcMar>
            <w:top w:w="0" w:type="dxa"/>
            <w:left w:w="0" w:type="dxa"/>
            <w:bottom w:w="0" w:type="dxa"/>
            <w:right w:w="0" w:type="dxa"/>
          </w:tcMar>
        </w:tcPr>
        <w:p w:rsidR="0001191C" w:rsidRPr="004B239B" w:rsidRDefault="0001191C" w:rsidP="00566BCE">
          <w:pPr>
            <w:pStyle w:val="Titel"/>
          </w:pPr>
          <w:r>
            <w:rPr>
              <w:rFonts w:cs="Arial"/>
            </w:rPr>
            <w:t>Press Release</w:t>
          </w:r>
        </w:p>
      </w:tc>
      <w:tc>
        <w:tcPr>
          <w:tcW w:w="2126" w:type="dxa"/>
          <w:tcMar>
            <w:top w:w="0" w:type="dxa"/>
            <w:left w:w="0" w:type="dxa"/>
            <w:bottom w:w="0" w:type="dxa"/>
            <w:right w:w="0" w:type="dxa"/>
          </w:tcMar>
        </w:tcPr>
        <w:p w:rsidR="0001191C" w:rsidRPr="004B239B" w:rsidRDefault="0001191C" w:rsidP="004B239B">
          <w:pPr>
            <w:jc w:val="left"/>
          </w:pPr>
          <w:r>
            <w:rPr>
              <w:rFonts w:cs="Arial"/>
              <w:noProof/>
              <w:color w:val="000000"/>
              <w:lang w:val="de-DE" w:eastAsia="de-DE"/>
            </w:rPr>
            <w:drawing>
              <wp:inline distT="0" distB="0" distL="0" distR="0" wp14:anchorId="360C4A4D" wp14:editId="108B3FE5">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01191C" w:rsidRDefault="0001191C" w:rsidP="004B23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15:restartNumberingAfterBreak="0">
    <w:nsid w:val="0C4560A2"/>
    <w:multiLevelType w:val="hybridMultilevel"/>
    <w:tmpl w:val="7A8EFC6E"/>
    <w:lvl w:ilvl="0" w:tplc="C5EEC0AC">
      <w:start w:val="1"/>
      <w:numFmt w:val="bullet"/>
      <w:pStyle w:val="AufzhlungspunkteCHG-MERIDIAN"/>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15:restartNumberingAfterBreak="0">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15:restartNumberingAfterBreak="0">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15:restartNumberingAfterBreak="0">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7" w15:restartNumberingAfterBreak="0">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7"/>
  </w:num>
  <w:num w:numId="5">
    <w:abstractNumId w:val="7"/>
  </w:num>
  <w:num w:numId="6">
    <w:abstractNumId w:val="3"/>
  </w:num>
  <w:num w:numId="7">
    <w:abstractNumId w:val="5"/>
  </w:num>
  <w:num w:numId="8">
    <w:abstractNumId w:val="6"/>
  </w:num>
  <w:num w:numId="9">
    <w:abstractNumId w:val="2"/>
  </w:num>
  <w:num w:numId="10">
    <w:abstractNumId w:val="1"/>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1191C"/>
    <w:rsid w:val="00033B44"/>
    <w:rsid w:val="000378A5"/>
    <w:rsid w:val="00071754"/>
    <w:rsid w:val="000733A9"/>
    <w:rsid w:val="000B3AF2"/>
    <w:rsid w:val="000D12FA"/>
    <w:rsid w:val="000E03AB"/>
    <w:rsid w:val="00135EF9"/>
    <w:rsid w:val="00147956"/>
    <w:rsid w:val="00183D81"/>
    <w:rsid w:val="001843FD"/>
    <w:rsid w:val="00195A05"/>
    <w:rsid w:val="001D78E7"/>
    <w:rsid w:val="001E2E86"/>
    <w:rsid w:val="001E52E3"/>
    <w:rsid w:val="001F20B0"/>
    <w:rsid w:val="00200130"/>
    <w:rsid w:val="00207023"/>
    <w:rsid w:val="00212492"/>
    <w:rsid w:val="0022572B"/>
    <w:rsid w:val="002A1BB4"/>
    <w:rsid w:val="002D54AF"/>
    <w:rsid w:val="002E64A0"/>
    <w:rsid w:val="00305F30"/>
    <w:rsid w:val="00316E05"/>
    <w:rsid w:val="0037598B"/>
    <w:rsid w:val="00396840"/>
    <w:rsid w:val="003B6787"/>
    <w:rsid w:val="003E4E09"/>
    <w:rsid w:val="003E4F4F"/>
    <w:rsid w:val="004010CE"/>
    <w:rsid w:val="00402F61"/>
    <w:rsid w:val="00423CD4"/>
    <w:rsid w:val="00424E10"/>
    <w:rsid w:val="004265B0"/>
    <w:rsid w:val="00454F4F"/>
    <w:rsid w:val="0049117B"/>
    <w:rsid w:val="00492B12"/>
    <w:rsid w:val="004B239B"/>
    <w:rsid w:val="004C79EB"/>
    <w:rsid w:val="0050390E"/>
    <w:rsid w:val="0051006F"/>
    <w:rsid w:val="00547CF9"/>
    <w:rsid w:val="00554238"/>
    <w:rsid w:val="00566BCE"/>
    <w:rsid w:val="005A3455"/>
    <w:rsid w:val="005C6B36"/>
    <w:rsid w:val="005E46B1"/>
    <w:rsid w:val="00607BCD"/>
    <w:rsid w:val="0061248D"/>
    <w:rsid w:val="00631264"/>
    <w:rsid w:val="00636ECB"/>
    <w:rsid w:val="00637462"/>
    <w:rsid w:val="0064020B"/>
    <w:rsid w:val="0064269A"/>
    <w:rsid w:val="006779EB"/>
    <w:rsid w:val="006A2518"/>
    <w:rsid w:val="006A61DF"/>
    <w:rsid w:val="00705AD7"/>
    <w:rsid w:val="00721ADA"/>
    <w:rsid w:val="00776FEC"/>
    <w:rsid w:val="00790533"/>
    <w:rsid w:val="00790AF3"/>
    <w:rsid w:val="007C5852"/>
    <w:rsid w:val="007C5F89"/>
    <w:rsid w:val="007D71AC"/>
    <w:rsid w:val="007E3EA6"/>
    <w:rsid w:val="00823064"/>
    <w:rsid w:val="00861E23"/>
    <w:rsid w:val="00866736"/>
    <w:rsid w:val="0087331B"/>
    <w:rsid w:val="0088563B"/>
    <w:rsid w:val="008B40D2"/>
    <w:rsid w:val="008C42B2"/>
    <w:rsid w:val="00935EB9"/>
    <w:rsid w:val="009465B8"/>
    <w:rsid w:val="009975EA"/>
    <w:rsid w:val="009A4D69"/>
    <w:rsid w:val="009A6AFE"/>
    <w:rsid w:val="009A703D"/>
    <w:rsid w:val="009D30C4"/>
    <w:rsid w:val="009D3175"/>
    <w:rsid w:val="00A01D16"/>
    <w:rsid w:val="00A3140C"/>
    <w:rsid w:val="00A37F35"/>
    <w:rsid w:val="00A71665"/>
    <w:rsid w:val="00AA3DD5"/>
    <w:rsid w:val="00B3580B"/>
    <w:rsid w:val="00B7094D"/>
    <w:rsid w:val="00B72201"/>
    <w:rsid w:val="00C16AE2"/>
    <w:rsid w:val="00C262D1"/>
    <w:rsid w:val="00C34BA7"/>
    <w:rsid w:val="00C53357"/>
    <w:rsid w:val="00C5515E"/>
    <w:rsid w:val="00C77607"/>
    <w:rsid w:val="00C81737"/>
    <w:rsid w:val="00C93737"/>
    <w:rsid w:val="00C96EAA"/>
    <w:rsid w:val="00D1668A"/>
    <w:rsid w:val="00D42E63"/>
    <w:rsid w:val="00D6393D"/>
    <w:rsid w:val="00D86455"/>
    <w:rsid w:val="00D91F94"/>
    <w:rsid w:val="00D922A8"/>
    <w:rsid w:val="00DD5E91"/>
    <w:rsid w:val="00DD7493"/>
    <w:rsid w:val="00DE0477"/>
    <w:rsid w:val="00E03C28"/>
    <w:rsid w:val="00E100FF"/>
    <w:rsid w:val="00E15CB9"/>
    <w:rsid w:val="00E16161"/>
    <w:rsid w:val="00E42D78"/>
    <w:rsid w:val="00E450E6"/>
    <w:rsid w:val="00E62FE0"/>
    <w:rsid w:val="00E6646D"/>
    <w:rsid w:val="00E71BD9"/>
    <w:rsid w:val="00E74574"/>
    <w:rsid w:val="00E75E36"/>
    <w:rsid w:val="00E86670"/>
    <w:rsid w:val="00E950B0"/>
    <w:rsid w:val="00E96A23"/>
    <w:rsid w:val="00EA583C"/>
    <w:rsid w:val="00EA74FA"/>
    <w:rsid w:val="00EB106D"/>
    <w:rsid w:val="00EB5AEE"/>
    <w:rsid w:val="00EC1B30"/>
    <w:rsid w:val="00F342E4"/>
    <w:rsid w:val="00F5333E"/>
    <w:rsid w:val="00F81AA2"/>
    <w:rsid w:val="00F85A1C"/>
    <w:rsid w:val="00FB602A"/>
    <w:rsid w:val="00FD1204"/>
    <w:rsid w:val="00FD6A72"/>
    <w:rsid w:val="00FE15DA"/>
    <w:rsid w:val="00FF2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F6EA"/>
  <w15:docId w15:val="{FD642806-0A93-427F-99A9-674B4C8D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4"/>
        <w:szCs w:val="14"/>
        <w:lang w:val="en-GB"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Borders>
        <w:insideH w:val="single" w:sz="4" w:space="0" w:color="FFFFFF" w:themeColor="background1"/>
      </w:tblBorders>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Borders>
        <w:top w:val="single" w:sz="8" w:space="0" w:color="ACA53D" w:themeColor="accent5"/>
        <w:left w:val="single" w:sz="8" w:space="0" w:color="ACA53D" w:themeColor="accent5"/>
        <w:bottom w:val="single" w:sz="8" w:space="0" w:color="ACA53D" w:themeColor="accent5"/>
        <w:right w:val="single" w:sz="8" w:space="0" w:color="ACA53D" w:themeColor="accent5"/>
      </w:tblBorders>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Borders>
        <w:insideH w:val="single" w:sz="4" w:space="0" w:color="7A716F"/>
        <w:insideV w:val="single" w:sz="4" w:space="0" w:color="7A716F"/>
      </w:tblBorders>
      <w:tblCellMar>
        <w:left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0733A9"/>
    <w:pPr>
      <w:numPr>
        <w:numId w:val="10"/>
      </w:numPr>
      <w:jc w:val="left"/>
    </w:pPr>
    <w:rPr>
      <w:rFonts w:eastAsia="Calibri" w:cs="Times New Roman"/>
      <w:szCs w:val="22"/>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0733A9"/>
    <w:rPr>
      <w:rFonts w:eastAsia="Calibri" w:cs="Times New Roman"/>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steybe@ch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g-meridi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B845F3A-D4FC-4565-A3A6-25A5B97AFDC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4475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Steybe, Matthias</cp:lastModifiedBy>
  <cp:revision>6</cp:revision>
  <cp:lastPrinted>2016-07-22T06:46:00Z</cp:lastPrinted>
  <dcterms:created xsi:type="dcterms:W3CDTF">2016-07-21T08:27:00Z</dcterms:created>
  <dcterms:modified xsi:type="dcterms:W3CDTF">2016-07-22T06:46:00Z</dcterms:modified>
</cp:coreProperties>
</file>