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C6" w:rsidRPr="00E61C32" w:rsidRDefault="003D00C6"/>
    <w:p w:rsidR="00DA141B" w:rsidRPr="00E61C32" w:rsidRDefault="00AE708B" w:rsidP="00AE708B">
      <w:pPr>
        <w:tabs>
          <w:tab w:val="left" w:pos="7965"/>
        </w:tabs>
      </w:pPr>
      <w:r>
        <w:tab/>
      </w:r>
    </w:p>
    <w:p w:rsidR="00DA141B" w:rsidRDefault="00DA141B"/>
    <w:p w:rsidR="00C600A0" w:rsidRPr="00E61C32" w:rsidRDefault="00C600A0"/>
    <w:p w:rsidR="00B86B7F" w:rsidRDefault="007C1EB0" w:rsidP="00815256">
      <w:pPr>
        <w:pStyle w:val="SchlagzeilePressemitteilung"/>
        <w:framePr w:w="8179" w:wrap="around" w:y="2365"/>
        <w:spacing w:line="240" w:lineRule="auto"/>
        <w:ind w:left="142"/>
        <w:rPr>
          <w:rFonts w:cs="Arial"/>
          <w:color w:val="7A716F"/>
          <w:sz w:val="40"/>
          <w:szCs w:val="40"/>
        </w:rPr>
      </w:pPr>
      <w:r>
        <w:rPr>
          <w:color w:val="7A716F"/>
          <w:sz w:val="40"/>
        </w:rPr>
        <w:t>A tough draw for data erasers: End-of-life management between security and efficiency</w:t>
      </w:r>
    </w:p>
    <w:p w:rsidR="00C600A0" w:rsidRDefault="00C600A0" w:rsidP="00C600A0">
      <w:pPr>
        <w:pStyle w:val="AufzhlungspunkteCHG-MERIDIAN"/>
        <w:framePr w:w="8179" w:h="420" w:wrap="around" w:vAnchor="page" w:hAnchor="page" w:x="1186" w:y="2365" w:anchorLock="1"/>
        <w:numPr>
          <w:ilvl w:val="0"/>
          <w:numId w:val="0"/>
        </w:numPr>
        <w:spacing w:line="360" w:lineRule="auto"/>
        <w:ind w:left="641"/>
        <w:rPr>
          <w:rFonts w:cs="Arial"/>
          <w:b/>
          <w:color w:val="7A716F"/>
        </w:rPr>
      </w:pPr>
    </w:p>
    <w:p w:rsidR="00C600A0" w:rsidRDefault="00142E64" w:rsidP="00C600A0">
      <w:pPr>
        <w:pStyle w:val="AufzhlungspunkteCHG-MERIDIAN"/>
        <w:framePr w:w="8179" w:h="420" w:wrap="around" w:vAnchor="page" w:hAnchor="page" w:x="1186" w:y="2365" w:anchorLock="1"/>
        <w:spacing w:line="276" w:lineRule="auto"/>
        <w:ind w:left="641" w:right="1418" w:hanging="357"/>
        <w:rPr>
          <w:rFonts w:cs="Arial"/>
          <w:b/>
          <w:color w:val="7A716F"/>
          <w:sz w:val="24"/>
        </w:rPr>
      </w:pPr>
      <w:r>
        <w:rPr>
          <w:b/>
          <w:color w:val="7A716F"/>
          <w:sz w:val="24"/>
        </w:rPr>
        <w:t>Certified data erasure versus economic device utilization</w:t>
      </w:r>
    </w:p>
    <w:p w:rsidR="00142E64" w:rsidRDefault="00142E64" w:rsidP="00142E64">
      <w:pPr>
        <w:pStyle w:val="AufzhlungspunkteCHG-MERIDIAN"/>
        <w:framePr w:w="8179" w:h="420" w:wrap="around" w:vAnchor="page" w:hAnchor="page" w:x="1186" w:y="2365" w:anchorLock="1"/>
        <w:spacing w:line="276" w:lineRule="auto"/>
        <w:ind w:left="641" w:right="1418" w:hanging="357"/>
        <w:rPr>
          <w:rFonts w:cs="Arial"/>
          <w:b/>
          <w:color w:val="7A716F"/>
          <w:sz w:val="24"/>
        </w:rPr>
      </w:pPr>
      <w:r>
        <w:rPr>
          <w:b/>
          <w:color w:val="7A716F"/>
          <w:sz w:val="24"/>
        </w:rPr>
        <w:t>eraSURE combines data erasure with efficient investment protection</w:t>
      </w:r>
    </w:p>
    <w:p w:rsidR="00142E64" w:rsidRPr="00142E64" w:rsidRDefault="00142E64" w:rsidP="00142E64">
      <w:pPr>
        <w:pStyle w:val="AufzhlungspunkteCHG-MERIDIAN"/>
        <w:framePr w:w="8179" w:h="420" w:wrap="around" w:vAnchor="page" w:hAnchor="page" w:x="1186" w:y="2365" w:anchorLock="1"/>
        <w:spacing w:line="276" w:lineRule="auto"/>
        <w:ind w:left="641" w:right="1418" w:hanging="357"/>
        <w:rPr>
          <w:rFonts w:cs="Arial"/>
          <w:b/>
          <w:color w:val="7A716F"/>
          <w:sz w:val="24"/>
        </w:rPr>
      </w:pPr>
      <w:r>
        <w:rPr>
          <w:b/>
          <w:color w:val="7A716F"/>
          <w:sz w:val="24"/>
        </w:rPr>
        <w:t>Data erasure meets internationally established standards such as BSI and DoD</w:t>
      </w:r>
    </w:p>
    <w:p w:rsidR="00B86B7F" w:rsidRPr="00F649D6" w:rsidRDefault="00364AF8" w:rsidP="00815256">
      <w:pPr>
        <w:pStyle w:val="AufzhlungspunkteCHG-MERIDIAN"/>
        <w:numPr>
          <w:ilvl w:val="0"/>
          <w:numId w:val="0"/>
        </w:numPr>
        <w:jc w:val="both"/>
        <w:rPr>
          <w:szCs w:val="19"/>
          <w:u w:val="single"/>
        </w:rPr>
      </w:pPr>
      <w:r>
        <w:rPr>
          <w:u w:val="single"/>
        </w:rPr>
        <w:t xml:space="preserve">Weingarten, May </w:t>
      </w:r>
      <w:r w:rsidR="00C635FB">
        <w:rPr>
          <w:u w:val="single"/>
        </w:rPr>
        <w:t>12</w:t>
      </w:r>
      <w:bookmarkStart w:id="0" w:name="_GoBack"/>
      <w:bookmarkEnd w:id="0"/>
      <w:r>
        <w:rPr>
          <w:u w:val="single"/>
        </w:rPr>
        <w:t>, 2015</w:t>
      </w:r>
    </w:p>
    <w:p w:rsidR="00142E64" w:rsidRDefault="00142E64" w:rsidP="00815256">
      <w:pPr>
        <w:pStyle w:val="AufzhlungspunkteCHG-MERIDIAN"/>
        <w:numPr>
          <w:ilvl w:val="0"/>
          <w:numId w:val="0"/>
        </w:numPr>
        <w:jc w:val="both"/>
        <w:rPr>
          <w:szCs w:val="19"/>
        </w:rPr>
      </w:pPr>
    </w:p>
    <w:p w:rsidR="00142E64" w:rsidRPr="00142E64" w:rsidRDefault="00142E64" w:rsidP="00142E64">
      <w:pPr>
        <w:pStyle w:val="AufzhlungspunkteCHG-MERIDIAN"/>
        <w:numPr>
          <w:ilvl w:val="0"/>
          <w:numId w:val="0"/>
        </w:numPr>
        <w:jc w:val="both"/>
        <w:rPr>
          <w:szCs w:val="19"/>
        </w:rPr>
      </w:pPr>
      <w:r>
        <w:t>The data quantity in western Europe doubles every two-and-a-half years. A golden age for data collectors. The opposing sector is having a somewhat tougher time. It is not just the quantity and types of storage media that is rapidly growing. The requirements for reliable erasure are joined by the desire for efficient device disposal. What to do? eraSURE by CHG-MERIDIAN offers an answer.</w:t>
      </w:r>
    </w:p>
    <w:p w:rsidR="00142E64" w:rsidRPr="00F649D6" w:rsidRDefault="00142E64" w:rsidP="00815256">
      <w:pPr>
        <w:pStyle w:val="AufzhlungspunkteCHG-MERIDIAN"/>
        <w:numPr>
          <w:ilvl w:val="0"/>
          <w:numId w:val="0"/>
        </w:numPr>
        <w:jc w:val="both"/>
        <w:rPr>
          <w:szCs w:val="19"/>
        </w:rPr>
      </w:pPr>
    </w:p>
    <w:p w:rsidR="009B0C1F" w:rsidRPr="00C600A0" w:rsidRDefault="009B0C1F" w:rsidP="009B0C1F">
      <w:r>
        <w:t xml:space="preserve">"Anyone trying to erase storage media nowadays is shooting at a moving target," explains Frank Kottmann, member of the board of CHG-MERIDIAN. "On the one hand, legal guidelines and compliance requirements from CIOs and IT budget managers apply pressure. On the other, commercial questions cause real headaches: For a data erasure, do I have to physically destroy the 500 smartphones belonging to my colleagues at the end of the technology life cycle? Or can I do both: Relieve my budget with recycling and still be on the safe side?" continues Kottmann. </w:t>
      </w:r>
    </w:p>
    <w:p w:rsidR="00746B17" w:rsidRDefault="00746B17" w:rsidP="00815256">
      <w:pPr>
        <w:pStyle w:val="AufzhlungspunkteCHG-MERIDIAN"/>
        <w:numPr>
          <w:ilvl w:val="0"/>
          <w:numId w:val="0"/>
        </w:numPr>
        <w:jc w:val="both"/>
        <w:rPr>
          <w:szCs w:val="19"/>
        </w:rPr>
      </w:pPr>
    </w:p>
    <w:p w:rsidR="009B0C1F" w:rsidRPr="00C600A0" w:rsidRDefault="009B0C1F" w:rsidP="009B0C1F">
      <w:pPr>
        <w:rPr>
          <w:b/>
        </w:rPr>
      </w:pPr>
      <w:r>
        <w:rPr>
          <w:b/>
        </w:rPr>
        <w:t>eraSURE combines data erasure with efficient investment protection</w:t>
      </w:r>
    </w:p>
    <w:p w:rsidR="009B0C1F" w:rsidRPr="00C600A0" w:rsidRDefault="009B0C1F" w:rsidP="009B0C1F">
      <w:r>
        <w:t xml:space="preserve">Under the name 'eraSURE' CHG-MERIDIAN creates individual and certified data erasure concepts, which link technical security requirements with commercial needs in the smartest ways. "And always on the basis of internationally established standards such as DoD (Department of Defense) or BSI (German Federal Office for Information Security)," underlines Frank Kottmann. </w:t>
      </w:r>
    </w:p>
    <w:p w:rsidR="00280130" w:rsidRPr="00C600A0" w:rsidRDefault="00280130" w:rsidP="009B0C1F"/>
    <w:p w:rsidR="009B0C1F" w:rsidRPr="00C600A0" w:rsidRDefault="009B0C1F" w:rsidP="009B0C1F">
      <w:r>
        <w:t>This is CHG-MERIDIAN's field of core expertise: As an independent financial advisor and technology manager, the company brings together expertise that had previously only occurred separately: Technical knowledge and commercial intelligence. The intelligent mixture of both creates individual inventory and benefit concepts for the management of technology environments. CHG-MERIDIAN is also an international player in the area of end-of-life management: its companies include those that are obligated to particularly high standards of data security.</w:t>
      </w:r>
    </w:p>
    <w:p w:rsidR="00280130" w:rsidRPr="00C600A0" w:rsidRDefault="00280130" w:rsidP="009B0C1F"/>
    <w:p w:rsidR="009B0C1F" w:rsidRDefault="009B0C1F" w:rsidP="009B0C1F">
      <w:pPr>
        <w:pStyle w:val="AufzhlungspunkteCHG-MERIDIAN"/>
        <w:numPr>
          <w:ilvl w:val="0"/>
          <w:numId w:val="0"/>
        </w:numPr>
        <w:jc w:val="both"/>
      </w:pPr>
      <w:r>
        <w:t xml:space="preserve">With eraSURE the process of CHG-MERIDIAN results from the awareness that not all data is equal. Some is more equal than others. For example, data from board devices is generally more sensitive than that from the shipping department. Just like information </w:t>
      </w:r>
      <w:r>
        <w:lastRenderedPageBreak/>
        <w:t>from the company development department or patient data from a hospital. All this data belongs to a higher risk class and is handled accordingly. In principle, it is always the degree of protection required that is crucial in the selection of the erasure process and the processes used.</w:t>
      </w:r>
    </w:p>
    <w:p w:rsidR="00B22886" w:rsidRPr="00C600A0" w:rsidRDefault="00B22886" w:rsidP="00B22886"/>
    <w:p w:rsidR="00B22886" w:rsidRPr="00C42377" w:rsidRDefault="00B22886" w:rsidP="00B22886">
      <w:pPr>
        <w:rPr>
          <w:b/>
        </w:rPr>
      </w:pPr>
      <w:r>
        <w:rPr>
          <w:b/>
        </w:rPr>
        <w:t>Two certified erasure processes</w:t>
      </w:r>
    </w:p>
    <w:p w:rsidR="00B22886" w:rsidRPr="00C600A0" w:rsidRDefault="00B22886" w:rsidP="00B22886">
      <w:r>
        <w:t xml:space="preserve">Fundamentally, a CIO or IT manager can choose between two certified erasure processes. Both options span from simple data erasure to the physical destruction of the data carrier. </w:t>
      </w:r>
    </w:p>
    <w:p w:rsidR="00B22886" w:rsidRPr="00C600A0" w:rsidRDefault="00B22886" w:rsidP="00B22886"/>
    <w:p w:rsidR="00B22886" w:rsidRDefault="00B22886" w:rsidP="00B22886">
      <w:pPr>
        <w:pStyle w:val="AufzhlungspunkteCHG-MERIDIAN"/>
      </w:pPr>
      <w:r>
        <w:t xml:space="preserve">The data erasure takes place with TÜV certification and according to BSI Grundschutz. The process begins with the collection of the devices, including sealed transportation and ends with data erasure in a biometrically closed off security area. </w:t>
      </w:r>
    </w:p>
    <w:p w:rsidR="00B22886" w:rsidRPr="00D874B8" w:rsidRDefault="00B22886" w:rsidP="00B22886">
      <w:pPr>
        <w:pStyle w:val="AufzhlungspunkteCHG-MERIDIAN"/>
        <w:numPr>
          <w:ilvl w:val="0"/>
          <w:numId w:val="0"/>
        </w:numPr>
        <w:ind w:left="644"/>
      </w:pPr>
    </w:p>
    <w:p w:rsidR="00B22886" w:rsidRDefault="00B22886" w:rsidP="00B22886">
      <w:pPr>
        <w:pStyle w:val="AufzhlungspunkteCHG-MERIDIAN"/>
      </w:pPr>
      <w:r>
        <w:t>The erasure is DEKRA-certified and complies with the Department of Defense (DoD). This standard refrains from the certification of the transportation. It is particularly well-suited to data with a lower protective requirement.</w:t>
      </w:r>
    </w:p>
    <w:p w:rsidR="00B22886" w:rsidRPr="00C600A0" w:rsidRDefault="00B22886" w:rsidP="00B22886"/>
    <w:p w:rsidR="00B22886" w:rsidRDefault="00B22886" w:rsidP="00B22886">
      <w:pPr>
        <w:pStyle w:val="AufzhlungspunkteCHG-MERIDIAN"/>
        <w:numPr>
          <w:ilvl w:val="0"/>
          <w:numId w:val="0"/>
        </w:numPr>
        <w:jc w:val="both"/>
      </w:pPr>
      <w:r>
        <w:t>The process is set out for mechanical and electrical storage. The spectrum of storage media ranges from workstation PCs, laptops and servers to data center storage environments, smartphones and tablets. Depending on the security requirements of the customer and the defined protective class, scenarios from one or the other erasure process are used. And so the optimum erasure method is created based on established standards: audit-proof, compliant and, at the same time, cost effective.</w:t>
      </w:r>
    </w:p>
    <w:p w:rsidR="00F05210" w:rsidRDefault="00F05210" w:rsidP="00B22886">
      <w:pPr>
        <w:pStyle w:val="AufzhlungspunkteCHG-MERIDIAN"/>
        <w:numPr>
          <w:ilvl w:val="0"/>
          <w:numId w:val="0"/>
        </w:numPr>
        <w:jc w:val="both"/>
      </w:pPr>
    </w:p>
    <w:p w:rsidR="00F05210" w:rsidRPr="00C42377" w:rsidRDefault="00F05210" w:rsidP="00F05210">
      <w:pPr>
        <w:rPr>
          <w:b/>
          <w:szCs w:val="19"/>
        </w:rPr>
      </w:pPr>
      <w:r>
        <w:rPr>
          <w:b/>
        </w:rPr>
        <w:t>Part of a comprehensive service network</w:t>
      </w:r>
    </w:p>
    <w:p w:rsidR="00F05210" w:rsidRPr="00C600A0" w:rsidRDefault="00F05210" w:rsidP="00F05210">
      <w:r>
        <w:t xml:space="preserve">eraSURE is part of a comprehensive service network with which CHG-MERIDIAN continuously supports the life of an IT workplace with its Managed Desktop Solutions (MDS) solution area. From consultation to device retrieval and certified data erasure all technical and commercial information is 100% transparent. Security and traceability is a benefit of this, predictability and checking is another. For example, you can report, bill and budget account-based costs down to the last detail. </w:t>
      </w:r>
    </w:p>
    <w:p w:rsidR="00F05210" w:rsidRDefault="00F05210" w:rsidP="00F05210">
      <w:pPr>
        <w:spacing w:line="240" w:lineRule="auto"/>
        <w:rPr>
          <w:rFonts w:cs="Arial"/>
        </w:rPr>
      </w:pPr>
    </w:p>
    <w:p w:rsidR="00C42377" w:rsidRDefault="00C42377" w:rsidP="00F05210">
      <w:pPr>
        <w:spacing w:line="240" w:lineRule="auto"/>
        <w:rPr>
          <w:rFonts w:cs="Arial"/>
        </w:rPr>
      </w:pPr>
    </w:p>
    <w:p w:rsidR="00142E64" w:rsidRPr="00F649D6" w:rsidRDefault="00142E64" w:rsidP="00142E64">
      <w:pPr>
        <w:pStyle w:val="AufzhlungspunkteCHG-MERIDIAN"/>
        <w:numPr>
          <w:ilvl w:val="0"/>
          <w:numId w:val="0"/>
        </w:numPr>
        <w:spacing w:line="240" w:lineRule="atLeast"/>
        <w:jc w:val="both"/>
        <w:rPr>
          <w:b/>
          <w:szCs w:val="19"/>
        </w:rPr>
      </w:pPr>
    </w:p>
    <w:p w:rsidR="00142E64" w:rsidRPr="00F649D6" w:rsidRDefault="00142E64" w:rsidP="00142E64">
      <w:pPr>
        <w:pStyle w:val="AufzhlungspunkteCHG-MERIDIAN"/>
        <w:numPr>
          <w:ilvl w:val="0"/>
          <w:numId w:val="0"/>
        </w:numPr>
        <w:spacing w:line="240" w:lineRule="atLeast"/>
        <w:jc w:val="both"/>
        <w:rPr>
          <w:b/>
          <w:szCs w:val="19"/>
        </w:rPr>
      </w:pPr>
      <w:r>
        <w:rPr>
          <w:b/>
        </w:rPr>
        <w:t xml:space="preserve">For more information and photos, please visit: </w:t>
      </w:r>
      <w:hyperlink r:id="rId9">
        <w:r>
          <w:rPr>
            <w:rStyle w:val="Hyperlink"/>
            <w:b/>
            <w:color w:val="auto"/>
            <w:u w:val="none"/>
          </w:rPr>
          <w:t>www.chg-meridian.com</w:t>
        </w:r>
      </w:hyperlink>
      <w:r>
        <w:rPr>
          <w:b/>
        </w:rPr>
        <w:t xml:space="preserve"> </w:t>
      </w:r>
    </w:p>
    <w:p w:rsidR="00C42377" w:rsidRPr="00142E64" w:rsidRDefault="00C42377" w:rsidP="00F05210">
      <w:pPr>
        <w:spacing w:line="240" w:lineRule="auto"/>
        <w:rPr>
          <w:noProof/>
        </w:rPr>
      </w:pPr>
    </w:p>
    <w:p w:rsidR="00142E64" w:rsidRPr="00142E64" w:rsidRDefault="00142E64" w:rsidP="00F05210">
      <w:pPr>
        <w:spacing w:line="240" w:lineRule="auto"/>
        <w:rPr>
          <w:noProof/>
        </w:rPr>
      </w:pPr>
    </w:p>
    <w:p w:rsidR="00142E64" w:rsidRPr="00142E64" w:rsidRDefault="00142E64" w:rsidP="00F05210">
      <w:pPr>
        <w:spacing w:line="240" w:lineRule="auto"/>
        <w:rPr>
          <w:noProof/>
        </w:rPr>
      </w:pPr>
    </w:p>
    <w:p w:rsidR="00142E64" w:rsidRPr="00142E64" w:rsidRDefault="00142E64" w:rsidP="00F05210">
      <w:pPr>
        <w:spacing w:line="240" w:lineRule="auto"/>
        <w:rPr>
          <w:noProof/>
        </w:rPr>
      </w:pPr>
    </w:p>
    <w:p w:rsidR="00142E64" w:rsidRPr="00142E64" w:rsidRDefault="00142E64" w:rsidP="00F05210">
      <w:pPr>
        <w:spacing w:line="240" w:lineRule="auto"/>
        <w:rPr>
          <w:noProof/>
        </w:rPr>
      </w:pPr>
    </w:p>
    <w:p w:rsidR="00142E64" w:rsidRPr="00142E64" w:rsidRDefault="00142E64" w:rsidP="00F05210">
      <w:pPr>
        <w:spacing w:line="240" w:lineRule="auto"/>
        <w:rPr>
          <w:noProof/>
        </w:rPr>
      </w:pPr>
    </w:p>
    <w:p w:rsidR="00142E64" w:rsidRDefault="00142E64" w:rsidP="00F05210">
      <w:pPr>
        <w:spacing w:line="240" w:lineRule="auto"/>
        <w:rPr>
          <w:noProof/>
        </w:rPr>
      </w:pPr>
    </w:p>
    <w:p w:rsidR="00142E64" w:rsidRDefault="00142E64" w:rsidP="00F05210">
      <w:pPr>
        <w:spacing w:line="240" w:lineRule="auto"/>
        <w:rPr>
          <w:noProof/>
        </w:rPr>
      </w:pPr>
    </w:p>
    <w:p w:rsidR="00142E64" w:rsidRPr="00142E64" w:rsidRDefault="00142E64" w:rsidP="00F05210">
      <w:pPr>
        <w:spacing w:line="240" w:lineRule="auto"/>
        <w:rPr>
          <w:noProof/>
        </w:rPr>
      </w:pPr>
    </w:p>
    <w:p w:rsidR="00142E64" w:rsidRPr="007D2BDB" w:rsidRDefault="00142E64" w:rsidP="00142E64">
      <w:pPr>
        <w:pStyle w:val="AufzhlungspunkteCHG-MERIDIAN"/>
        <w:numPr>
          <w:ilvl w:val="0"/>
          <w:numId w:val="0"/>
        </w:numPr>
        <w:spacing w:line="240" w:lineRule="auto"/>
        <w:jc w:val="both"/>
        <w:rPr>
          <w:rFonts w:cs="Arial"/>
          <w:b/>
          <w:noProof/>
          <w:sz w:val="14"/>
          <w:szCs w:val="14"/>
        </w:rPr>
      </w:pPr>
      <w:r>
        <w:rPr>
          <w:b/>
          <w:noProof/>
          <w:sz w:val="14"/>
        </w:rPr>
        <w:t>CHG-MERIDIAN: The company</w:t>
      </w:r>
    </w:p>
    <w:p w:rsidR="00142E64" w:rsidRPr="007D2BDB" w:rsidRDefault="00142E64" w:rsidP="00142E64">
      <w:pPr>
        <w:pStyle w:val="AufzhlungspunkteCHG-MERIDIAN"/>
        <w:numPr>
          <w:ilvl w:val="0"/>
          <w:numId w:val="0"/>
        </w:numPr>
        <w:spacing w:line="240" w:lineRule="auto"/>
        <w:jc w:val="both"/>
        <w:rPr>
          <w:rFonts w:cs="Arial"/>
          <w:noProof/>
          <w:sz w:val="14"/>
          <w:szCs w:val="14"/>
        </w:rPr>
      </w:pPr>
      <w:r>
        <w:rPr>
          <w:noProof/>
          <w:sz w:val="14"/>
        </w:rPr>
        <w:t>CHG-MERIDIAN is one of the world's leading manufacturer- and bank-independent providers of technology management services to the IT, industry and healthcare sectors. With some 850 employees, CHG-MERIDIAN provides its customers with comprehensive support for their technology infrastructures – from consulting to financial and operational services to used-equipment re-marketing services through its two technology and service centers in Germany and Norway. CHG-MERIDIAN offers efficient technology management for large- and medium-sized companies and government agencies. It now serves over 10,000 customers worldwide and technology investments of more than EUR 4.2 billion. More than 2,700 of its customers also use TESMA© Online, its technology and service management system, for their internal technology controlling needs. The company has offices in 40 locations in 23 countries across the globe; its headquarters are in the South German city of Weingarten.</w:t>
      </w:r>
    </w:p>
    <w:p w:rsidR="00965133" w:rsidRPr="00965133" w:rsidRDefault="00142E64" w:rsidP="00142E64">
      <w:pPr>
        <w:rPr>
          <w:sz w:val="14"/>
          <w:szCs w:val="14"/>
        </w:rPr>
      </w:pPr>
      <w:r>
        <w:rPr>
          <w:noProof/>
          <w:sz w:val="14"/>
        </w:rPr>
        <w:t>Efficient Technology Management</w:t>
      </w:r>
      <w:r>
        <w:rPr>
          <w:noProof/>
          <w:sz w:val="14"/>
          <w:vertAlign w:val="superscript"/>
        </w:rPr>
        <w:t xml:space="preserve"> ®</w:t>
      </w:r>
      <w:r>
        <w:rPr>
          <w:noProof/>
          <w:sz w:val="14"/>
        </w:rPr>
        <w:t xml:space="preserve"> </w:t>
      </w:r>
    </w:p>
    <w:sectPr w:rsidR="00965133" w:rsidRPr="00965133" w:rsidSect="0066580C">
      <w:headerReference w:type="default" r:id="rId10"/>
      <w:footerReference w:type="default" r:id="rId11"/>
      <w:headerReference w:type="first" r:id="rId12"/>
      <w:footerReference w:type="first" r:id="rId13"/>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77" w:rsidRDefault="00C42377" w:rsidP="00193879">
      <w:pPr>
        <w:spacing w:line="240" w:lineRule="auto"/>
      </w:pPr>
      <w:r>
        <w:separator/>
      </w:r>
    </w:p>
  </w:endnote>
  <w:endnote w:type="continuationSeparator" w:id="0">
    <w:p w:rsidR="00C42377" w:rsidRDefault="00C42377"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77" w:rsidRDefault="00C42377">
    <w:pPr>
      <w:pStyle w:val="Fuzeile"/>
    </w:pPr>
    <w:r>
      <w:rPr>
        <w:noProof/>
        <w:lang w:bidi="ar-SA"/>
      </w:rPr>
      <w:drawing>
        <wp:anchor distT="0" distB="0" distL="114300" distR="114300" simplePos="0" relativeHeight="251662336" behindDoc="1" locked="0" layoutInCell="1" allowOverlap="1" wp14:anchorId="3785C370" wp14:editId="21A76719">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77" w:rsidRDefault="00C42377">
    <w:pPr>
      <w:pStyle w:val="Fuzeile"/>
    </w:pPr>
    <w:r>
      <w:rPr>
        <w:noProof/>
        <w:lang w:bidi="ar-SA"/>
      </w:rPr>
      <w:drawing>
        <wp:anchor distT="0" distB="0" distL="114300" distR="114300" simplePos="0" relativeHeight="251660288" behindDoc="1" locked="0" layoutInCell="1" allowOverlap="1" wp14:anchorId="2854015C" wp14:editId="39C4E224">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77" w:rsidRDefault="00C42377" w:rsidP="00193879">
      <w:pPr>
        <w:spacing w:line="240" w:lineRule="auto"/>
      </w:pPr>
      <w:r>
        <w:separator/>
      </w:r>
    </w:p>
  </w:footnote>
  <w:footnote w:type="continuationSeparator" w:id="0">
    <w:p w:rsidR="00C42377" w:rsidRDefault="00C42377"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77" w:rsidRPr="003F430F" w:rsidRDefault="00C42377" w:rsidP="0066580C">
    <w:pPr>
      <w:framePr w:w="7859" w:h="227" w:hRule="exact" w:wrap="around" w:vAnchor="page" w:hAnchor="page" w:x="1305" w:y="1305" w:anchorLock="1"/>
      <w:spacing w:line="180" w:lineRule="exact"/>
      <w:rPr>
        <w:rFonts w:cs="Arial"/>
        <w:noProof/>
        <w:color w:val="6F6F6F"/>
        <w:sz w:val="14"/>
        <w:szCs w:val="14"/>
      </w:rPr>
    </w:pPr>
    <w:r>
      <w:rPr>
        <w:color w:val="6F6F6F"/>
        <w:sz w:val="14"/>
      </w:rPr>
      <w:t>Page</w:t>
    </w:r>
    <w:r w:rsidRPr="00B77EB2">
      <w:rPr>
        <w:rFonts w:cs="Arial"/>
        <w:color w:val="6F6F6F"/>
        <w:sz w:val="14"/>
        <w:szCs w:val="14"/>
      </w:rPr>
      <w:fldChar w:fldCharType="begin"/>
    </w:r>
    <w:r w:rsidRPr="00B77EB2">
      <w:rPr>
        <w:rFonts w:cs="Arial"/>
        <w:color w:val="6F6F6F"/>
        <w:sz w:val="14"/>
        <w:szCs w:val="14"/>
      </w:rPr>
      <w:instrText xml:space="preserve"> PAGE </w:instrText>
    </w:r>
    <w:r w:rsidRPr="00B77EB2">
      <w:rPr>
        <w:rFonts w:cs="Arial"/>
        <w:color w:val="6F6F6F"/>
        <w:sz w:val="14"/>
        <w:szCs w:val="14"/>
      </w:rPr>
      <w:fldChar w:fldCharType="separate"/>
    </w:r>
    <w:r w:rsidR="00661C2E">
      <w:rPr>
        <w:rFonts w:cs="Arial"/>
        <w:noProof/>
        <w:color w:val="6F6F6F"/>
        <w:sz w:val="14"/>
        <w:szCs w:val="14"/>
      </w:rPr>
      <w:t>2</w:t>
    </w:r>
    <w:r w:rsidRPr="00B77EB2">
      <w:rPr>
        <w:rFonts w:cs="Arial"/>
        <w:color w:val="6F6F6F"/>
        <w:sz w:val="14"/>
        <w:szCs w:val="14"/>
      </w:rPr>
      <w:fldChar w:fldCharType="end"/>
    </w:r>
    <w:r>
      <w:rPr>
        <w:color w:val="6F6F6F"/>
        <w:sz w:val="14"/>
      </w:rPr>
      <w:t xml:space="preserve"> of </w:t>
    </w:r>
    <w:r w:rsidRPr="00B77EB2">
      <w:rPr>
        <w:rFonts w:cs="Arial"/>
        <w:color w:val="6F6F6F"/>
        <w:sz w:val="14"/>
        <w:szCs w:val="14"/>
      </w:rPr>
      <w:fldChar w:fldCharType="begin"/>
    </w:r>
    <w:r w:rsidRPr="00B77EB2">
      <w:rPr>
        <w:rFonts w:cs="Arial"/>
        <w:color w:val="6F6F6F"/>
        <w:sz w:val="14"/>
        <w:szCs w:val="14"/>
      </w:rPr>
      <w:instrText xml:space="preserve"> NUMPAGES </w:instrText>
    </w:r>
    <w:r w:rsidRPr="00B77EB2">
      <w:rPr>
        <w:rFonts w:cs="Arial"/>
        <w:color w:val="6F6F6F"/>
        <w:sz w:val="14"/>
        <w:szCs w:val="14"/>
      </w:rPr>
      <w:fldChar w:fldCharType="separate"/>
    </w:r>
    <w:r w:rsidR="00661C2E">
      <w:rPr>
        <w:rFonts w:cs="Arial"/>
        <w:noProof/>
        <w:color w:val="6F6F6F"/>
        <w:sz w:val="14"/>
        <w:szCs w:val="14"/>
      </w:rPr>
      <w:t>2</w:t>
    </w:r>
    <w:r w:rsidRPr="00B77EB2">
      <w:rPr>
        <w:rFonts w:cs="Arial"/>
        <w:color w:val="6F6F6F"/>
        <w:sz w:val="14"/>
        <w:szCs w:val="14"/>
      </w:rPr>
      <w:fldChar w:fldCharType="end"/>
    </w:r>
    <w:r>
      <w:rPr>
        <w:color w:val="6F6F6F"/>
        <w:sz w:val="14"/>
      </w:rPr>
      <w:t xml:space="preserve"> </w:t>
    </w:r>
  </w:p>
  <w:p w:rsidR="00C42377" w:rsidRPr="003F430F" w:rsidRDefault="00C42377" w:rsidP="0066580C">
    <w:pPr>
      <w:framePr w:w="7859" w:h="227" w:hRule="exact" w:wrap="around" w:vAnchor="page" w:hAnchor="page" w:x="1305" w:y="1305" w:anchorLock="1"/>
      <w:rPr>
        <w:noProof/>
      </w:rPr>
    </w:pPr>
  </w:p>
  <w:p w:rsidR="00C42377" w:rsidRPr="003F430F" w:rsidRDefault="00C42377" w:rsidP="0066580C">
    <w:pPr>
      <w:framePr w:w="7859" w:h="227" w:hRule="exact" w:wrap="around" w:vAnchor="page" w:hAnchor="page" w:x="1305" w:y="1305" w:anchorLock="1"/>
      <w:rPr>
        <w:noProof/>
      </w:rPr>
    </w:pPr>
  </w:p>
  <w:p w:rsidR="00C42377" w:rsidRPr="003F430F" w:rsidRDefault="00C42377" w:rsidP="0066580C">
    <w:pPr>
      <w:framePr w:w="7859" w:h="227" w:hRule="exact" w:wrap="around" w:vAnchor="page" w:hAnchor="page" w:x="1305" w:y="1305" w:anchorLock="1"/>
    </w:pPr>
  </w:p>
  <w:p w:rsidR="00C42377" w:rsidRPr="003F430F" w:rsidRDefault="00C42377" w:rsidP="0066580C">
    <w:pPr>
      <w:framePr w:w="7859" w:h="227" w:hRule="exact" w:wrap="around" w:vAnchor="page" w:hAnchor="page" w:x="1305" w:y="1305" w:anchorLock="1"/>
      <w:rPr>
        <w:noProof/>
      </w:rPr>
    </w:pPr>
    <w:fldSimple w:instr="MERGEFIELD EFax \* MERGEFORMAT">
      <w:r w:rsidR="00661C2E">
        <w:rPr>
          <w:noProof/>
        </w:rPr>
        <w:t>«EFax»</w:t>
      </w:r>
    </w:fldSimple>
  </w:p>
  <w:p w:rsidR="00C42377" w:rsidRPr="003F430F" w:rsidRDefault="00C42377" w:rsidP="0066580C">
    <w:pPr>
      <w:framePr w:w="7859" w:h="227" w:hRule="exact" w:wrap="around" w:vAnchor="page" w:hAnchor="page" w:x="1305" w:y="1305" w:anchorLock="1"/>
      <w:rPr>
        <w:noProof/>
      </w:rPr>
    </w:pPr>
  </w:p>
  <w:p w:rsidR="00C42377" w:rsidRPr="003F430F" w:rsidRDefault="00C42377" w:rsidP="0066580C">
    <w:pPr>
      <w:framePr w:w="7859" w:h="227" w:hRule="exact" w:wrap="around" w:vAnchor="page" w:hAnchor="page" w:x="1305" w:y="1305" w:anchorLock="1"/>
      <w:spacing w:line="180" w:lineRule="exact"/>
      <w:rPr>
        <w:rFonts w:cs="Arial"/>
        <w:color w:val="969696"/>
        <w:sz w:val="14"/>
        <w:szCs w:val="14"/>
      </w:rPr>
    </w:pPr>
  </w:p>
  <w:p w:rsidR="00C42377" w:rsidRPr="006A7DBA" w:rsidRDefault="00C42377" w:rsidP="0066580C">
    <w:pPr>
      <w:framePr w:w="7859" w:h="227" w:hRule="exact" w:wrap="around" w:vAnchor="page" w:hAnchor="page" w:x="1305" w:y="1305" w:anchorLock="1"/>
      <w:spacing w:line="180" w:lineRule="exact"/>
      <w:rPr>
        <w:b/>
        <w:i/>
        <w:noProof/>
        <w:color w:val="969696"/>
        <w:sz w:val="14"/>
        <w:szCs w:val="14"/>
      </w:rPr>
    </w:pPr>
    <w:r>
      <w:rPr>
        <w:b/>
        <w:i/>
        <w:color w:val="969696"/>
        <w:sz w:val="14"/>
      </w:rPr>
      <w:t>Subject: Microsoft Software</w:t>
    </w:r>
  </w:p>
  <w:p w:rsidR="00C42377" w:rsidRDefault="00C42377" w:rsidP="00AE708B">
    <w:pPr>
      <w:pStyle w:val="Kopfzeile"/>
    </w:pPr>
    <w:r>
      <w:rPr>
        <w:noProof/>
        <w:lang w:bidi="ar-SA"/>
      </w:rPr>
      <w:drawing>
        <wp:anchor distT="0" distB="0" distL="114300" distR="114300" simplePos="0" relativeHeight="251657216" behindDoc="1" locked="0" layoutInCell="1" allowOverlap="1" wp14:anchorId="76B72093" wp14:editId="6A6998B1">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377" w:rsidRPr="00DA141B" w:rsidRDefault="00C42377"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C42377" w:rsidRPr="00C42377" w:rsidTr="007C1EB0">
      <w:tc>
        <w:tcPr>
          <w:tcW w:w="2657" w:type="dxa"/>
          <w:hideMark/>
        </w:tcPr>
        <w:p w:rsidR="00C42377" w:rsidRDefault="00C42377" w:rsidP="007C1EB0">
          <w:pPr>
            <w:framePr w:w="2517" w:h="8505" w:hSpace="482" w:wrap="around" w:vAnchor="page" w:hAnchor="page" w:x="9379" w:y="6561" w:anchorLock="1"/>
            <w:tabs>
              <w:tab w:val="left" w:pos="709"/>
              <w:tab w:val="right" w:pos="2835"/>
            </w:tabs>
            <w:spacing w:line="200" w:lineRule="atLeast"/>
            <w:jc w:val="left"/>
            <w:rPr>
              <w:b/>
              <w:color w:val="6F6F6E"/>
              <w:sz w:val="14"/>
            </w:rPr>
          </w:pPr>
          <w:r>
            <w:rPr>
              <w:b/>
              <w:color w:val="6F6F6E"/>
              <w:sz w:val="14"/>
            </w:rPr>
            <w:t>Date: 5/</w:t>
          </w:r>
          <w:r w:rsidR="00C635FB">
            <w:rPr>
              <w:b/>
              <w:color w:val="6F6F6E"/>
              <w:sz w:val="14"/>
            </w:rPr>
            <w:t>12</w:t>
          </w:r>
          <w:r>
            <w:rPr>
              <w:b/>
              <w:color w:val="6F6F6E"/>
              <w:sz w:val="14"/>
            </w:rPr>
            <w:t>/2015</w:t>
          </w:r>
        </w:p>
        <w:p w:rsidR="00C42377" w:rsidRPr="00F649D6"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rPr>
          </w:pPr>
        </w:p>
        <w:p w:rsidR="00C42377" w:rsidRPr="00F649D6"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rPr>
          </w:pPr>
          <w:r>
            <w:rPr>
              <w:color w:val="6F6F6E"/>
              <w:sz w:val="14"/>
            </w:rPr>
            <w:t>Your contact:</w:t>
          </w:r>
        </w:p>
        <w:p w:rsidR="00C42377" w:rsidRPr="00F649D6"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rPr>
          </w:pPr>
          <w:r>
            <w:rPr>
              <w:color w:val="6F6F6E"/>
              <w:sz w:val="14"/>
            </w:rPr>
            <w:t xml:space="preserve">Matthias Steybe </w:t>
          </w:r>
        </w:p>
        <w:p w:rsidR="00C42377" w:rsidRPr="00F649D6"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rPr>
          </w:pPr>
          <w:r>
            <w:rPr>
              <w:color w:val="6F6F6E"/>
              <w:sz w:val="14"/>
            </w:rPr>
            <w:t xml:space="preserve">Head of Communications </w:t>
          </w:r>
        </w:p>
        <w:p w:rsidR="00C42377" w:rsidRPr="00C635FB"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lang w:val="de-DE"/>
            </w:rPr>
          </w:pPr>
          <w:proofErr w:type="spellStart"/>
          <w:r w:rsidRPr="00C635FB">
            <w:rPr>
              <w:color w:val="6F6F6E"/>
              <w:sz w:val="14"/>
              <w:lang w:val="de-DE"/>
            </w:rPr>
            <w:t>and</w:t>
          </w:r>
          <w:proofErr w:type="spellEnd"/>
          <w:r w:rsidRPr="00C635FB">
            <w:rPr>
              <w:color w:val="6F6F6E"/>
              <w:sz w:val="14"/>
              <w:lang w:val="de-DE"/>
            </w:rPr>
            <w:t xml:space="preserve"> Marketing</w:t>
          </w:r>
        </w:p>
        <w:p w:rsidR="00C42377" w:rsidRPr="00C635FB"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lang w:val="de-DE"/>
            </w:rPr>
          </w:pPr>
        </w:p>
        <w:p w:rsidR="00C42377" w:rsidRPr="00C635FB"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lang w:val="de-DE"/>
            </w:rPr>
          </w:pPr>
          <w:r w:rsidRPr="00C635FB">
            <w:rPr>
              <w:color w:val="6F6F6E"/>
              <w:sz w:val="14"/>
              <w:lang w:val="de-DE"/>
            </w:rPr>
            <w:t>Franz-Beer-Straße 111</w:t>
          </w:r>
        </w:p>
        <w:p w:rsidR="00C42377" w:rsidRPr="00C635FB"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lang w:val="de-DE"/>
            </w:rPr>
          </w:pPr>
          <w:r w:rsidRPr="00C635FB">
            <w:rPr>
              <w:color w:val="6F6F6E"/>
              <w:sz w:val="14"/>
              <w:lang w:val="de-DE"/>
            </w:rPr>
            <w:t>D-88250 Weingarten</w:t>
          </w:r>
        </w:p>
        <w:p w:rsidR="00C42377" w:rsidRPr="00C635FB"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lang w:val="de-DE"/>
            </w:rPr>
          </w:pPr>
        </w:p>
        <w:p w:rsidR="00C42377" w:rsidRPr="0065673F"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rPr>
          </w:pPr>
          <w:r>
            <w:rPr>
              <w:color w:val="6F6F6E"/>
              <w:sz w:val="14"/>
            </w:rPr>
            <w:t>Tel. +49 751 503-248</w:t>
          </w:r>
        </w:p>
        <w:p w:rsidR="00C42377" w:rsidRPr="0065673F"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rPr>
          </w:pPr>
          <w:r>
            <w:rPr>
              <w:color w:val="6F6F6E"/>
              <w:sz w:val="14"/>
            </w:rPr>
            <w:t>Fax. +49 751 503-7248</w:t>
          </w:r>
        </w:p>
        <w:p w:rsidR="00C42377" w:rsidRPr="0065673F"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rPr>
          </w:pPr>
          <w:r>
            <w:rPr>
              <w:color w:val="6F6F6E"/>
              <w:sz w:val="14"/>
            </w:rPr>
            <w:t xml:space="preserve">Cell phone: +49 172 667-1341 </w:t>
          </w:r>
        </w:p>
        <w:p w:rsidR="00C42377" w:rsidRPr="00965133" w:rsidRDefault="00661C2E" w:rsidP="007C1EB0">
          <w:pPr>
            <w:framePr w:w="2517" w:h="8505" w:hSpace="482" w:wrap="around" w:vAnchor="page" w:hAnchor="page" w:x="9379" w:y="6561" w:anchorLock="1"/>
            <w:tabs>
              <w:tab w:val="left" w:pos="709"/>
              <w:tab w:val="right" w:pos="2835"/>
            </w:tabs>
            <w:spacing w:line="200" w:lineRule="atLeast"/>
            <w:jc w:val="left"/>
            <w:rPr>
              <w:color w:val="6F6F6E"/>
              <w:sz w:val="14"/>
              <w:szCs w:val="14"/>
            </w:rPr>
          </w:pPr>
          <w:hyperlink r:id="rId1">
            <w:r w:rsidR="00C42377">
              <w:rPr>
                <w:color w:val="6F6F6E"/>
                <w:sz w:val="14"/>
              </w:rPr>
              <w:t>matthias.steybe@chg-</w:t>
            </w:r>
          </w:hyperlink>
        </w:p>
        <w:p w:rsidR="00C42377" w:rsidRPr="00965133"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szCs w:val="14"/>
            </w:rPr>
          </w:pPr>
          <w:r>
            <w:rPr>
              <w:color w:val="6F6F6E"/>
              <w:sz w:val="14"/>
            </w:rPr>
            <w:t>meridian.de</w:t>
          </w:r>
        </w:p>
        <w:p w:rsidR="00C42377" w:rsidRPr="00965133"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szCs w:val="14"/>
            </w:rPr>
          </w:pPr>
        </w:p>
        <w:p w:rsidR="00C42377" w:rsidRPr="00965133" w:rsidRDefault="00C42377" w:rsidP="007C1EB0">
          <w:pPr>
            <w:framePr w:w="2517" w:h="8505" w:hSpace="482" w:wrap="around" w:vAnchor="page" w:hAnchor="page" w:x="9379" w:y="6561" w:anchorLock="1"/>
            <w:tabs>
              <w:tab w:val="left" w:pos="709"/>
              <w:tab w:val="right" w:pos="2835"/>
            </w:tabs>
            <w:spacing w:line="200" w:lineRule="atLeast"/>
            <w:jc w:val="left"/>
            <w:rPr>
              <w:color w:val="6F6F6E"/>
              <w:sz w:val="14"/>
            </w:rPr>
          </w:pPr>
          <w:r>
            <w:rPr>
              <w:color w:val="6F6F6E"/>
              <w:sz w:val="14"/>
            </w:rPr>
            <w:t>www.chg-meridian.com</w:t>
          </w:r>
        </w:p>
        <w:p w:rsidR="00C42377" w:rsidRPr="00965133" w:rsidRDefault="00C42377" w:rsidP="007C1EB0">
          <w:pPr>
            <w:framePr w:w="2517" w:h="8505" w:hSpace="482" w:wrap="around" w:vAnchor="page" w:hAnchor="page" w:x="9379" w:y="6561" w:anchorLock="1"/>
            <w:spacing w:line="210" w:lineRule="exact"/>
            <w:rPr>
              <w:sz w:val="14"/>
              <w:szCs w:val="14"/>
            </w:rPr>
          </w:pPr>
        </w:p>
      </w:tc>
    </w:tr>
  </w:tbl>
  <w:p w:rsidR="00C42377" w:rsidRPr="00965133" w:rsidRDefault="00C42377" w:rsidP="007C1EB0">
    <w:pPr>
      <w:framePr w:w="2517" w:h="8505" w:hSpace="482" w:wrap="around" w:vAnchor="page" w:hAnchor="page" w:x="9379" w:y="6561" w:anchorLock="1"/>
      <w:spacing w:line="210" w:lineRule="exact"/>
      <w:rPr>
        <w:sz w:val="14"/>
        <w:szCs w:val="14"/>
      </w:rPr>
    </w:pPr>
  </w:p>
  <w:p w:rsidR="00C42377" w:rsidRPr="00965133" w:rsidRDefault="00C42377" w:rsidP="007C1EB0">
    <w:pPr>
      <w:framePr w:w="2517" w:h="8505" w:hSpace="482" w:wrap="around" w:vAnchor="page" w:hAnchor="page" w:x="9379" w:y="6561" w:anchorLock="1"/>
      <w:spacing w:line="210" w:lineRule="exact"/>
      <w:rPr>
        <w:sz w:val="14"/>
        <w:szCs w:val="14"/>
      </w:rPr>
    </w:pPr>
  </w:p>
  <w:p w:rsidR="00C42377" w:rsidRPr="00965133" w:rsidRDefault="00C42377" w:rsidP="007C1EB0">
    <w:pPr>
      <w:framePr w:w="2517" w:h="8505" w:hSpace="482" w:wrap="around" w:vAnchor="page" w:hAnchor="page" w:x="9379" w:y="6561" w:anchorLock="1"/>
      <w:spacing w:line="210" w:lineRule="exact"/>
      <w:rPr>
        <w:sz w:val="14"/>
        <w:szCs w:val="14"/>
      </w:rPr>
    </w:pPr>
  </w:p>
  <w:p w:rsidR="00C42377" w:rsidRPr="00C600A0" w:rsidRDefault="00C42377" w:rsidP="007C1EB0">
    <w:pPr>
      <w:framePr w:w="1939" w:h="2699" w:hSpace="482" w:wrap="around" w:vAnchor="page" w:hAnchor="page" w:x="9379" w:y="3862"/>
    </w:pPr>
  </w:p>
  <w:p w:rsidR="00C42377" w:rsidRPr="00277562" w:rsidRDefault="00C42377" w:rsidP="007C1EB0">
    <w:pPr>
      <w:pStyle w:val="berschrift2"/>
      <w:tabs>
        <w:tab w:val="left" w:pos="7513"/>
        <w:tab w:val="left" w:pos="7938"/>
      </w:tabs>
    </w:pPr>
    <w:r>
      <w:rPr>
        <w:b w:val="0"/>
      </w:rPr>
      <w:t>PRESS RELEASE</w:t>
    </w:r>
    <w:r>
      <w:rPr>
        <w:noProof/>
        <w:lang w:bidi="ar-SA"/>
      </w:rPr>
      <w:drawing>
        <wp:anchor distT="0" distB="0" distL="114300" distR="114300" simplePos="0" relativeHeight="251656192" behindDoc="1" locked="0" layoutInCell="1" allowOverlap="1" wp14:anchorId="2E2AE188" wp14:editId="3E1AE1C4">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bulletpoint"/>
      </v:shape>
    </w:pict>
  </w:numPicBullet>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148AF"/>
    <w:multiLevelType w:val="multilevel"/>
    <w:tmpl w:val="D82CBAA4"/>
    <w:lvl w:ilvl="0">
      <w:start w:val="1"/>
      <w:numFmt w:val="bullet"/>
      <w:pStyle w:val="Bulletpoint"/>
      <w:lvlText w:val=""/>
      <w:lvlPicBulletId w:val="0"/>
      <w:lvlJc w:val="left"/>
      <w:pPr>
        <w:tabs>
          <w:tab w:val="num" w:pos="0"/>
        </w:tabs>
        <w:ind w:left="-284" w:firstLine="284"/>
      </w:pPr>
      <w:rPr>
        <w:rFonts w:ascii="Symbol" w:hAnsi="Symbol" w:hint="default"/>
        <w:color w:val="ACA53D" w:themeColor="accent2"/>
        <w:position w:val="0"/>
        <w:sz w:val="19"/>
        <w:szCs w:val="19"/>
        <w:vertAlign w:val="baseline"/>
      </w:rPr>
    </w:lvl>
    <w:lvl w:ilvl="1">
      <w:start w:val="1"/>
      <w:numFmt w:val="bullet"/>
      <w:lvlText w:val=""/>
      <w:lvlJc w:val="left"/>
      <w:pPr>
        <w:tabs>
          <w:tab w:val="num" w:pos="510"/>
        </w:tabs>
        <w:ind w:left="510" w:hanging="227"/>
      </w:pPr>
      <w:rPr>
        <w:rFonts w:ascii="Symbol" w:hAnsi="Symbol" w:hint="default"/>
        <w:color w:val="8F8B88"/>
        <w:position w:val="-3"/>
        <w:sz w:val="28"/>
        <w:szCs w:val="28"/>
      </w:rPr>
    </w:lvl>
    <w:lvl w:ilvl="2">
      <w:start w:val="1"/>
      <w:numFmt w:val="bullet"/>
      <w:lvlText w:val=""/>
      <w:lvlJc w:val="left"/>
      <w:pPr>
        <w:tabs>
          <w:tab w:val="num" w:pos="680"/>
        </w:tabs>
        <w:ind w:left="680" w:hanging="170"/>
      </w:pPr>
      <w:rPr>
        <w:rFonts w:ascii="Symbol" w:hAnsi="Symbol" w:hint="default"/>
        <w:color w:val="ACA9A7"/>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2">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5FB2"/>
    <w:rsid w:val="000641CE"/>
    <w:rsid w:val="000728EF"/>
    <w:rsid w:val="000745C5"/>
    <w:rsid w:val="000A220D"/>
    <w:rsid w:val="000E3B33"/>
    <w:rsid w:val="00101A4A"/>
    <w:rsid w:val="00106D2E"/>
    <w:rsid w:val="00107A97"/>
    <w:rsid w:val="00107EA9"/>
    <w:rsid w:val="00127901"/>
    <w:rsid w:val="00142E64"/>
    <w:rsid w:val="00154F03"/>
    <w:rsid w:val="00176008"/>
    <w:rsid w:val="00184C0C"/>
    <w:rsid w:val="001904F1"/>
    <w:rsid w:val="00193879"/>
    <w:rsid w:val="001A5394"/>
    <w:rsid w:val="001A5BAE"/>
    <w:rsid w:val="001C10A8"/>
    <w:rsid w:val="001C1C71"/>
    <w:rsid w:val="00201E88"/>
    <w:rsid w:val="002312C1"/>
    <w:rsid w:val="00236422"/>
    <w:rsid w:val="00250D99"/>
    <w:rsid w:val="00277562"/>
    <w:rsid w:val="00280130"/>
    <w:rsid w:val="002B742B"/>
    <w:rsid w:val="00306A86"/>
    <w:rsid w:val="003206AE"/>
    <w:rsid w:val="00337318"/>
    <w:rsid w:val="00364AF8"/>
    <w:rsid w:val="00387D7C"/>
    <w:rsid w:val="003B0F32"/>
    <w:rsid w:val="003B3BAE"/>
    <w:rsid w:val="003B6F92"/>
    <w:rsid w:val="003D00C6"/>
    <w:rsid w:val="003F164A"/>
    <w:rsid w:val="003F430F"/>
    <w:rsid w:val="00403AB2"/>
    <w:rsid w:val="00424515"/>
    <w:rsid w:val="00426275"/>
    <w:rsid w:val="00430285"/>
    <w:rsid w:val="00451A60"/>
    <w:rsid w:val="0045618B"/>
    <w:rsid w:val="004D5BC0"/>
    <w:rsid w:val="004E10ED"/>
    <w:rsid w:val="004E1156"/>
    <w:rsid w:val="004F37EC"/>
    <w:rsid w:val="004F7A21"/>
    <w:rsid w:val="00504088"/>
    <w:rsid w:val="005160EE"/>
    <w:rsid w:val="0054687E"/>
    <w:rsid w:val="00552388"/>
    <w:rsid w:val="00567BFC"/>
    <w:rsid w:val="00567D3C"/>
    <w:rsid w:val="0057093D"/>
    <w:rsid w:val="00595777"/>
    <w:rsid w:val="005B30CC"/>
    <w:rsid w:val="005D0D43"/>
    <w:rsid w:val="005E21FA"/>
    <w:rsid w:val="005E2F57"/>
    <w:rsid w:val="0060264D"/>
    <w:rsid w:val="00602EAE"/>
    <w:rsid w:val="00630C12"/>
    <w:rsid w:val="0065673F"/>
    <w:rsid w:val="00660FD7"/>
    <w:rsid w:val="00661C2E"/>
    <w:rsid w:val="0066580C"/>
    <w:rsid w:val="00677E1C"/>
    <w:rsid w:val="00684B5A"/>
    <w:rsid w:val="006A78A1"/>
    <w:rsid w:val="006A7DBA"/>
    <w:rsid w:val="006C79F8"/>
    <w:rsid w:val="007349B8"/>
    <w:rsid w:val="00746B17"/>
    <w:rsid w:val="00761D6A"/>
    <w:rsid w:val="00784F23"/>
    <w:rsid w:val="007906E4"/>
    <w:rsid w:val="00790A30"/>
    <w:rsid w:val="00790D39"/>
    <w:rsid w:val="007918A9"/>
    <w:rsid w:val="007A3235"/>
    <w:rsid w:val="007A4898"/>
    <w:rsid w:val="007B5DFA"/>
    <w:rsid w:val="007C1EB0"/>
    <w:rsid w:val="007C30C3"/>
    <w:rsid w:val="007F0B76"/>
    <w:rsid w:val="0081089B"/>
    <w:rsid w:val="00815256"/>
    <w:rsid w:val="008169AA"/>
    <w:rsid w:val="00832B86"/>
    <w:rsid w:val="00847CB2"/>
    <w:rsid w:val="00852F49"/>
    <w:rsid w:val="0086434A"/>
    <w:rsid w:val="008734ED"/>
    <w:rsid w:val="008746ED"/>
    <w:rsid w:val="008820FF"/>
    <w:rsid w:val="0089169F"/>
    <w:rsid w:val="008C3CE7"/>
    <w:rsid w:val="008D7477"/>
    <w:rsid w:val="008E503E"/>
    <w:rsid w:val="00903604"/>
    <w:rsid w:val="00907CDE"/>
    <w:rsid w:val="009522B2"/>
    <w:rsid w:val="00965133"/>
    <w:rsid w:val="009B0C1F"/>
    <w:rsid w:val="009B1B4C"/>
    <w:rsid w:val="009C5AFA"/>
    <w:rsid w:val="009E75D8"/>
    <w:rsid w:val="00A1119D"/>
    <w:rsid w:val="00A731B0"/>
    <w:rsid w:val="00A80109"/>
    <w:rsid w:val="00A86448"/>
    <w:rsid w:val="00A93BB6"/>
    <w:rsid w:val="00A9570F"/>
    <w:rsid w:val="00A96C2D"/>
    <w:rsid w:val="00AA6D5B"/>
    <w:rsid w:val="00AD0DD5"/>
    <w:rsid w:val="00AD6242"/>
    <w:rsid w:val="00AE440C"/>
    <w:rsid w:val="00AE58AD"/>
    <w:rsid w:val="00AE708B"/>
    <w:rsid w:val="00AF023F"/>
    <w:rsid w:val="00B20AC8"/>
    <w:rsid w:val="00B22886"/>
    <w:rsid w:val="00B537C1"/>
    <w:rsid w:val="00B54AF6"/>
    <w:rsid w:val="00B55399"/>
    <w:rsid w:val="00B73D82"/>
    <w:rsid w:val="00B77EB2"/>
    <w:rsid w:val="00B86B7F"/>
    <w:rsid w:val="00B86EB9"/>
    <w:rsid w:val="00BC6436"/>
    <w:rsid w:val="00BF0386"/>
    <w:rsid w:val="00C32462"/>
    <w:rsid w:val="00C42377"/>
    <w:rsid w:val="00C53172"/>
    <w:rsid w:val="00C600A0"/>
    <w:rsid w:val="00C635FB"/>
    <w:rsid w:val="00C70AF1"/>
    <w:rsid w:val="00C748E2"/>
    <w:rsid w:val="00C77194"/>
    <w:rsid w:val="00C96A81"/>
    <w:rsid w:val="00CA3999"/>
    <w:rsid w:val="00CA5430"/>
    <w:rsid w:val="00CD4CB8"/>
    <w:rsid w:val="00CD78BD"/>
    <w:rsid w:val="00D01E2B"/>
    <w:rsid w:val="00D60475"/>
    <w:rsid w:val="00D64687"/>
    <w:rsid w:val="00D648C1"/>
    <w:rsid w:val="00D82FA5"/>
    <w:rsid w:val="00D878BD"/>
    <w:rsid w:val="00DA141B"/>
    <w:rsid w:val="00DA6550"/>
    <w:rsid w:val="00DD09BD"/>
    <w:rsid w:val="00E21BC1"/>
    <w:rsid w:val="00E225A4"/>
    <w:rsid w:val="00E51881"/>
    <w:rsid w:val="00E61C32"/>
    <w:rsid w:val="00E63B4E"/>
    <w:rsid w:val="00E847BD"/>
    <w:rsid w:val="00EB4CDA"/>
    <w:rsid w:val="00EC3674"/>
    <w:rsid w:val="00ED6A85"/>
    <w:rsid w:val="00F05210"/>
    <w:rsid w:val="00F06B68"/>
    <w:rsid w:val="00F154D9"/>
    <w:rsid w:val="00F271DD"/>
    <w:rsid w:val="00F50FD5"/>
    <w:rsid w:val="00F574E9"/>
    <w:rsid w:val="00F649D6"/>
    <w:rsid w:val="00F92EE5"/>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91D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142E64"/>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table" w:styleId="FarbigesRaster-Akzent6">
    <w:name w:val="Colorful Grid Accent 6"/>
    <w:basedOn w:val="NormaleTabelle"/>
    <w:uiPriority w:val="73"/>
    <w:rsid w:val="009B0C1F"/>
    <w:rPr>
      <w:rFonts w:asciiTheme="minorHAnsi" w:eastAsiaTheme="minorEastAsia" w:hAnsiTheme="minorHAnsi" w:cstheme="minorBidi"/>
      <w:color w:val="7A716F" w:themeColor="text1"/>
      <w:sz w:val="24"/>
      <w:szCs w:val="24"/>
    </w:rPr>
    <w:tblPr>
      <w:tblStyleRowBandSize w:val="1"/>
      <w:tblStyleColBandSize w:val="1"/>
      <w:tblInd w:w="0" w:type="dxa"/>
      <w:tblBorders>
        <w:insideH w:val="single" w:sz="4" w:space="0" w:color="D6D1C0" w:themeColor="background1"/>
      </w:tblBorders>
      <w:tblCellMar>
        <w:top w:w="0" w:type="dxa"/>
        <w:left w:w="108" w:type="dxa"/>
        <w:bottom w:w="0" w:type="dxa"/>
        <w:right w:w="108" w:type="dxa"/>
      </w:tblCellMar>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7A716F" w:themeColor="text1"/>
      </w:rPr>
      <w:tblPr/>
      <w:tcPr>
        <w:shd w:val="clear" w:color="auto" w:fill="999999" w:themeFill="accent6" w:themeFillTint="66"/>
      </w:tcPr>
    </w:tblStylePr>
    <w:tblStylePr w:type="firstCol">
      <w:rPr>
        <w:color w:val="D6D1C0" w:themeColor="background1"/>
      </w:rPr>
      <w:tblPr/>
      <w:tcPr>
        <w:shd w:val="clear" w:color="auto" w:fill="000000" w:themeFill="accent6" w:themeFillShade="BF"/>
      </w:tcPr>
    </w:tblStylePr>
    <w:tblStylePr w:type="lastCol">
      <w:rPr>
        <w:color w:val="D6D1C0"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customStyle="1" w:styleId="Bulletpoint">
    <w:name w:val="Bulletpoint"/>
    <w:qFormat/>
    <w:rsid w:val="00B22886"/>
    <w:pPr>
      <w:numPr>
        <w:numId w:val="4"/>
      </w:numPr>
      <w:spacing w:after="170"/>
      <w:ind w:left="284" w:hanging="284"/>
    </w:pPr>
    <w:rPr>
      <w:rFonts w:ascii="Arial" w:eastAsiaTheme="minorEastAsia" w:hAnsi="Arial" w:cstheme="minorBidi"/>
      <w:color w:val="7A716F" w:themeColor="text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142E64"/>
    <w:pPr>
      <w:spacing w:line="250" w:lineRule="exact"/>
      <w:jc w:val="both"/>
    </w:pPr>
    <w:rPr>
      <w:rFonts w:ascii="Arial" w:hAnsi="Arial"/>
      <w:sz w:val="19"/>
      <w:szCs w:val="22"/>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rPr>
  </w:style>
  <w:style w:type="character" w:customStyle="1" w:styleId="Textkrper2Zchn">
    <w:name w:val="Textkörper 2 Zchn"/>
    <w:link w:val="Textkrper2"/>
    <w:semiHidden/>
    <w:rsid w:val="006A7DBA"/>
    <w:rPr>
      <w:rFonts w:ascii="Arial" w:eastAsia="Times New Roman" w:hAnsi="Arial"/>
      <w:sz w:val="22"/>
      <w:lang w:val="en-US" w:eastAsia="en-US"/>
    </w:rPr>
  </w:style>
  <w:style w:type="paragraph" w:styleId="KeinLeerraum">
    <w:name w:val="No Spacing"/>
    <w:aliases w:val="CHG-Agreement"/>
    <w:uiPriority w:val="1"/>
    <w:qFormat/>
    <w:rsid w:val="00B20AC8"/>
    <w:pPr>
      <w:spacing w:line="200" w:lineRule="exact"/>
      <w:jc w:val="both"/>
    </w:pPr>
    <w:rPr>
      <w:rFonts w:ascii="Arial" w:hAnsi="Arial"/>
      <w:sz w:val="14"/>
      <w:szCs w:val="22"/>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table" w:styleId="FarbigesRaster-Akzent6">
    <w:name w:val="Colorful Grid Accent 6"/>
    <w:basedOn w:val="NormaleTabelle"/>
    <w:uiPriority w:val="73"/>
    <w:rsid w:val="009B0C1F"/>
    <w:rPr>
      <w:rFonts w:asciiTheme="minorHAnsi" w:eastAsiaTheme="minorEastAsia" w:hAnsiTheme="minorHAnsi" w:cstheme="minorBidi"/>
      <w:color w:val="7A716F" w:themeColor="text1"/>
      <w:sz w:val="24"/>
      <w:szCs w:val="24"/>
    </w:rPr>
    <w:tblPr>
      <w:tblStyleRowBandSize w:val="1"/>
      <w:tblStyleColBandSize w:val="1"/>
      <w:tblInd w:w="0" w:type="dxa"/>
      <w:tblBorders>
        <w:insideH w:val="single" w:sz="4" w:space="0" w:color="D6D1C0" w:themeColor="background1"/>
      </w:tblBorders>
      <w:tblCellMar>
        <w:top w:w="0" w:type="dxa"/>
        <w:left w:w="108" w:type="dxa"/>
        <w:bottom w:w="0" w:type="dxa"/>
        <w:right w:w="108" w:type="dxa"/>
      </w:tblCellMar>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7A716F" w:themeColor="text1"/>
      </w:rPr>
      <w:tblPr/>
      <w:tcPr>
        <w:shd w:val="clear" w:color="auto" w:fill="999999" w:themeFill="accent6" w:themeFillTint="66"/>
      </w:tcPr>
    </w:tblStylePr>
    <w:tblStylePr w:type="firstCol">
      <w:rPr>
        <w:color w:val="D6D1C0" w:themeColor="background1"/>
      </w:rPr>
      <w:tblPr/>
      <w:tcPr>
        <w:shd w:val="clear" w:color="auto" w:fill="000000" w:themeFill="accent6" w:themeFillShade="BF"/>
      </w:tcPr>
    </w:tblStylePr>
    <w:tblStylePr w:type="lastCol">
      <w:rPr>
        <w:color w:val="D6D1C0"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customStyle="1" w:styleId="Bulletpoint">
    <w:name w:val="Bulletpoint"/>
    <w:qFormat/>
    <w:rsid w:val="00B22886"/>
    <w:pPr>
      <w:numPr>
        <w:numId w:val="4"/>
      </w:numPr>
      <w:spacing w:after="170"/>
      <w:ind w:left="284" w:hanging="284"/>
    </w:pPr>
    <w:rPr>
      <w:rFonts w:ascii="Arial" w:eastAsiaTheme="minorEastAsia" w:hAnsi="Arial" w:cstheme="minorBidi"/>
      <w:color w:val="7A716F"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atthias.steybe@ch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144B-1EDA-4F88-B85B-B2B62529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Kühny, Julian</cp:lastModifiedBy>
  <cp:revision>7</cp:revision>
  <cp:lastPrinted>2015-05-12T05:56:00Z</cp:lastPrinted>
  <dcterms:created xsi:type="dcterms:W3CDTF">2015-05-06T09:52:00Z</dcterms:created>
  <dcterms:modified xsi:type="dcterms:W3CDTF">2015-05-12T05:56:00Z</dcterms:modified>
</cp:coreProperties>
</file>